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multimodal_repair_initiation_ca</w:t>
      </w:r>
    </w:p>
    <w:p>
      <w:r>
        <w:t xml:space="preserve"> </w:t>
      </w:r>
    </w:p>
    <w:p>
      <w:pPr>
        <w:pStyle w:val="Heading2"/>
      </w:pPr>
      <w:r>
        <w:t>Title</w:t>
      </w:r>
    </w:p>
    <w:p>
      <w:r>
        <w:t>Multimodal conversation-analytic and mixed-effects analysis of how repair initiation formats affect immediate uptake in ESL classroom interactions</w:t>
      </w:r>
    </w:p>
    <w:p>
      <w:r>
        <w:t xml:space="preserve"> </w:t>
      </w:r>
    </w:p>
    <w:p>
      <w:pPr>
        <w:pStyle w:val="Heading2"/>
      </w:pPr>
      <w:r>
        <w:t>Short Hypothesis</w:t>
      </w:r>
    </w:p>
    <w:p>
      <w:r>
        <w:t>Term/segment-specific repair initiations (explicit queries about a word or form) cause a higher probability of immediate uptake by students than open-class non-specific repair initiations in ESL classroom interactions.</w:t>
      </w:r>
    </w:p>
    <w:p>
      <w:r>
        <w:t xml:space="preserve"> </w:t>
      </w:r>
    </w:p>
    <w:p>
      <w:pPr>
        <w:pStyle w:val="Heading2"/>
      </w:pPr>
      <w:r>
        <w:t>Related Work</w:t>
      </w:r>
    </w:p>
    <w:p>
      <w:r>
        <w:t>Conversation analysis (CA) studies have described repair formats and sequential patterns in classroom talk but often use small qualitative samples and verbal-only transcripts. Second language acquisition (SLA) research links feedback and uptake to learning outcomes but typically relies on coarse-coded interactions or experimental tasks, limiting ecological validity. Multimodal corpus efforts provide audio-video resources and tools (e.g., ELAN) for aligning gaze, gesture, and speech, but existing work rarely integrates rigorous CA microanalysis with preregistered quantitative tests, power analyses, or explicit temporal cutoffs for 'immediate' uptake. Common limitations are: small or convenience samples, inconsistent operational definitions (what counts as uptake), low or unreported interrater reliability for multimodal cues, little pre-specification of primary hypotheses (risking multiplicity), and weak links between repair instances and measurable learning outcomes. These gaps make it hard to estimate effect sizes, generalize findings, or translate CA insights into evidence-based pedagogy.</w:t>
      </w:r>
    </w:p>
    <w:p>
      <w:r>
        <w:t xml:space="preserve"> </w:t>
      </w:r>
    </w:p>
    <w:p>
      <w:pPr>
        <w:pStyle w:val="Heading2"/>
      </w:pPr>
      <w:r>
        <w:t>Abstract</w:t>
      </w:r>
    </w:p>
    <w:p>
      <w:r>
        <w:t>We address whether and how different repair initiation formats in ESL classrooms lead to immediate uptake by learners. Using a multimodal, conversation-analytic approach combined with preregistered mixed-effects modeling, we test a single primary hypothesis: term/segment-specific repair initiations yield higher immediate uptake than open-class non-specific initiations. We build a time-aligned multimodal corpus (audio-video) annotated in ELAN with Jeffersonian orthography plus tiers for gaze, gesture, prosody, latency, repair type, and uptake. Primary analysis uses mixed-effects logistic regression (random intercepts for classroom, session, and speaker) to estimate odds of immediate uptake (binary outcome) within a pre-specified 0–2000 ms window from the repair token. Main contributions: (1) a reproducible operationalization of immediate, partial, and learning-related uptake; (2) a preregistered primary contrast to limit multiplicity; and (3) ablation tests that quantify the incremental predictive value of gaze, gesture, and prosody. Expected outcome: term-specific requests increase immediate uptake and multimodal cues materially improve prediction of uptake, informing both CA theory and classroom practice.</w:t>
      </w:r>
    </w:p>
    <w:p>
      <w:r>
        <w:t xml:space="preserve"> </w:t>
      </w:r>
    </w:p>
    <w:p>
      <w:pPr>
        <w:pStyle w:val="Heading2"/>
      </w:pPr>
      <w:r>
        <w:t>Experiments</w:t>
      </w:r>
    </w:p>
    <w:p>
      <w:r>
        <w:t>Datasets: primary dataset = CANDOR classroom corpus subset plus field collection of 20–30 ESL classrooms, 5–10 sessions/class, total 150–250 hours of video, target ≥1,000 annotated repair instances. Annotation: ELAN tiers for Jeffersonian orthography; repair_initiation_type (TSR, open, confirmation, correction); trouble_source_type; uptake_type (immediate/partial/learning-related); uptake_latency_ms; gaze (direction, target); gesture (type); prosody (stretch, pitch reset); metadata (participant ID, role, proficiency, task type). Baselines: (A) verbal-only CA coding (no multimodal tiers); (B) multimodal coding but statistical model excluding multimodal predictors; (C) teacher-only subset models. Evaluation metrics: immediate uptake rate (binary within 0–2000 ms), odds ratios (OR) from mixed-effects logistic regression, 95% CI, p-values, AIC/BIC, marginal and conditional pseudo-R2, Cohen's kappa/Krippendorff's alpha for interrater reliability, learning-related uptake rate (binary within 30 minutes and across next three sessions). Power assumptions and sample target: baseline immediate uptake p0=0.40, ICC_classroom=0.05, ICC_speaker=0.10; to detect OR=1.5 at 80% power require approximately 900–1,100 repair instances; target ≥1,000. Primary analysis: preregistered mixed-effects logistic regression predicting immediate uptake with fixed effects: repair_type (primary contrast TSR vs open), initiator_role (teacher/peer), presence_of_multimodal_cues (gaze, gesture, prosody), latency_ms, task_type, proficiency; random intercepts for classroom, session, speaker; random slope for repair_type by speaker. Ablation studies: run same model while removing each multimodal predictor in turn (no_gaze, no_gesture, no_prosody, no_materials) and compare ΔAIC and changes in OR for repair_type. Secondary analyses: propensity-score weighting to adjust for non-random selection of repair targets (covariates: utterance_length, trouble_source_type, prior_accuracy, participation_frame), within-subject contrasts (same student receiving teacher vs peer repairs), and sensitivity tests for immediate uptake window (0–1000 ms, 0–2000 ms, 0–5000 ms). Annotation protocol and reliability: pilot 12 stratified clips (10–15 min each), 3 annotators per clip, 12 hours initial coder training, target Cohen's kappa ≥0.75 for core codes; adjudication log and iterative codebook updates. Multiple-comparison rule: preregister primary contrast only; adjust secondary tests with false discovery rate (FDR).</w:t>
      </w:r>
    </w:p>
    <w:p>
      <w:r>
        <w:t xml:space="preserve"> </w:t>
      </w:r>
    </w:p>
    <w:p>
      <w:pPr>
        <w:pStyle w:val="Heading2"/>
      </w:pPr>
      <w:r>
        <w:t>Risk Factors And Limitations</w:t>
      </w:r>
    </w:p>
    <w:p>
      <w:r>
        <w:t>Annotation cost and time: full multimodal microanalysis may require 1.5–2.5 person-hours per video hour, creating budget and schedule risk; low interrater reliability for fine-grained multimodal cues may reduce usable data; missing or ambiguous video (occluded faces, poor audio) will reduce effective sample size; consent and privacy constraints may limit sharing or require face/voice anonymization affecting cue visibility; model convergence failures for maximal mixed models with complex random effects may require model simplification and reduce precision; baseline uptake rates and ICCs may differ from assumptions, affecting power and detectable effect sizes; propensity-score adjustment cannot fully remove unmeasured confounding from non-random teacher behavior; findings may not generalize beyond the sampled classroom types, proficiency ranges, or cultural contexts; defining 'correct' uptake (exact form vs close variant) introduces subjective edges that increase adjudication load and possible bias; automated de-identification (face-blur, voice-shift) may still present re-identification risk in small communities; compute and storage needs for 150–250 hours of video plus annotations (hundreds of GB) require investment and secure governance.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