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military_directors_audit_quality</w:t>
      </w:r>
    </w:p>
    <w:p>
      <w:r>
        <w:t xml:space="preserve"> </w:t>
      </w:r>
    </w:p>
    <w:p>
      <w:pPr>
        <w:pStyle w:val="Heading2"/>
      </w:pPr>
      <w:r>
        <w:t>Title</w:t>
      </w:r>
    </w:p>
    <w:p>
      <w:r>
        <w:t>Staggered difference-in-differences analysis of military experience on corporate boards and its effect on audit quality and earnings management</w:t>
      </w:r>
    </w:p>
    <w:p>
      <w:r>
        <w:t xml:space="preserve"> </w:t>
      </w:r>
    </w:p>
    <w:p>
      <w:pPr>
        <w:pStyle w:val="Heading2"/>
      </w:pPr>
      <w:r>
        <w:t>Short Hypothesis</w:t>
      </w:r>
    </w:p>
    <w:p>
      <w:r>
        <w:t>Appointment of one or more directors with prior military service causally increases audit quality and reduces earnings management in subsequent firm-years relative to otherwise-similar firms without such appointments.</w:t>
      </w:r>
    </w:p>
    <w:p>
      <w:r>
        <w:t xml:space="preserve"> </w:t>
      </w:r>
    </w:p>
    <w:p>
      <w:pPr>
        <w:pStyle w:val="Heading2"/>
      </w:pPr>
      <w:r>
        <w:t>Related Work</w:t>
      </w:r>
    </w:p>
    <w:p>
      <w:r>
        <w:t>Existing research links director background and board composition to financial reporting quality and audit outcomes using cross-sectional regressions, matching, and simple panel models. Prior studies rely heavily on single proxies (e.g., audit fees or one accrual measure), suffer from selection bias because firms that hire certain directors may differ in unobserved ways, and often lack modern staggered-adoption identification. Instrumental-variable attempts exist but face weak-instrument and exclusion-restriction concerns. Measurement of director military service is typically noisy and rarely validated at scale. Mechanism tests are limited: few studies jointly evaluate monitoring (audit effort) versus signaling (auditor perceptions), and heterogeneity by rank, audit-committee seat, or repeated hires is underexplored. Cross-country evidence is sparse and external validity is uncertain.</w:t>
      </w:r>
    </w:p>
    <w:p>
      <w:r>
        <w:t xml:space="preserve"> </w:t>
      </w:r>
    </w:p>
    <w:p>
      <w:pPr>
        <w:pStyle w:val="Heading2"/>
      </w:pPr>
      <w:r>
        <w:t>Abstract</w:t>
      </w:r>
    </w:p>
    <w:p>
      <w:r>
        <w:t>This study measures the causal effect of appointing directors with prior military experience on audit quality and earnings management. We use a staggered difference-in-differences design that exploits variation in the timing of first verified military-director appointments across U.S. publicly traded firms from 2000–2022. Staggered DiD (which compares firms before and after appointment while using firms treated at different times as controls) is combined with instrumental-variable estimates using local veteran-supply shifts to address selection. Primary outcomes are multiple, including discretionary accruals (a model-based measure of earnings management), a real-activity manipulation composite, restatement incidence, and auditor upgrades. We pre-validate military-service coding with manual audits and report measurement-error bounds. The main contribution is a transparent, preregistered causal analysis that distinguishes monitoring versus signaling channels, tests heterogeneity by audit-committee membership and officer seniority, and provides effect-size estimates useful for governance policy. Expected outcomes include robust causal estimates of direction and magnitude and clearer evidence on mechanisms linking military experience to financial reporting quality.</w:t>
      </w:r>
    </w:p>
    <w:p>
      <w:r>
        <w:t xml:space="preserve"> </w:t>
      </w:r>
    </w:p>
    <w:p>
      <w:pPr>
        <w:pStyle w:val="Heading2"/>
      </w:pPr>
      <w:r>
        <w:t>Experiments</w:t>
      </w:r>
    </w:p>
    <w:p>
      <w:r>
        <w:t>Datasets: Compustat and CRSP for financials and returns; BoardEx and AuditAnalytics for director attributes, appointments, audit fees, and auditor identity; PCAOB inspection records and Audit Analytics restatement flags; firm proxy statements and LinkedIn/manual CV checks for validation. Sample: U.S. non-financial, non-utility public firms, 2000–2022. Primary estimators: (1) Staggered DiD (Callaway &amp; Sant'Anna and Sun &amp; Abraham implementations) with event window -5 to +8; (2) Doubly-robust DiD as robustness; (3) IV two-stage least squares using leave-one-out Bartik veteran-density and exogenous base openings as instruments for treatment intensity; (4) Stacked DiD and continuous-treatment DiD for recurrent/multiple-hire analyses. Baselines: firm and year fixed effects; baseline X_it covariates: log assets, ROA, leverage, Tobin's Q, R&amp;D intensity, CEO turnover, M&amp;A indicator, board size, board independence, industry×year and region×year fixed effects; optional firm linear trends. Primary outcomes: modified-Jones discretionary accruals (discretionary accruals = model residuals representing managed earnings), real-activity manipulation composite (abnormal CFO, abnormal production costs, abnormal discretionary expenses aggregated), restatement incidence (binary), auditor upgrade to higher-tier (binary). Secondary outcomes: audit fees (log), audit-report lag (days), going-concern opinions (binary), PCAOB adverse findings. Evaluation metrics: estimated average treatment effect on treated (ATT) with 95% CI, first-stage F-statistics for IV, partial R2, placebo lead coefficients for pre-trend tests, p-values adjusted by Benjamini–Hochberg within outcome families, and minimum detectable effect (MDE) tables. Ablations and comparisons: (A) absorbing-treatment (first appointment only) versus time-varying intensity (count, audit-committee seat); (B) alternative accrual measures (Modified Jones, performance-matched, Dechow–Dichev residuals); (C) excluding firms within predefined radii of military bases (e.g., 25 and 50 miles) to test spillovers; (D) propensity-score matched DiD baseline. Inference: cluster SEs at firm-level; use wild-cluster bootstrap if cluster count &lt;40; report two-way clustering and Conley spatial SEs where appropriate. Validation: random manual audit of ≥300 director records to estimate sensitivity and specificity and report measurement-error-corrected bounds.</w:t>
      </w:r>
    </w:p>
    <w:p>
      <w:r>
        <w:t xml:space="preserve"> </w:t>
      </w:r>
    </w:p>
    <w:p>
      <w:pPr>
        <w:pStyle w:val="Heading2"/>
      </w:pPr>
      <w:r>
        <w:t>Risk Factors And Limitations</w:t>
      </w:r>
    </w:p>
    <w:p>
      <w:r>
        <w:t>Selection bias: firms that hire military directors may differ on unobserved trends that bias DiD; IVs may be weak or violate exclusion. Measurement error: misclassification of military service, ambiguous dates, and simultaneous hires reduce precision and may bias estimates. SUTVA and spillovers: geographic or network spillovers from nearby firms or supply chains may invalidate no-interference assumptions. Statistical power: treated-firm counts for specific subgroups (e.g., senior officers on audit committees) may be small, limiting detection of effects. Instrument validity: Bartik-style instruments can embed endogenous shocks unless carefully constructed. Mediator identification: mediation requires strong assumptions (no unobserved mediator–outcome confounding) that may not hold. External validity: U.S.-only sample limits generalization to other governance regimes. Data availability: PCAOB inspection data and internal-control disclosures may be incomplete or costly to assemble. Inference issues: few clusters or serial correlation across event cohorts can complicate standard error estimation.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