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saudi_21c_pd_trial</w:t>
      </w:r>
    </w:p>
    <w:p>
      <w:r>
        <w:t xml:space="preserve"> </w:t>
      </w:r>
    </w:p>
    <w:p>
      <w:pPr>
        <w:pStyle w:val="Heading2"/>
      </w:pPr>
      <w:r>
        <w:t>Title</w:t>
      </w:r>
    </w:p>
    <w:p>
      <w:r>
        <w:t>Cluster randomized trial of a blended professional development program to improve English and mathematics teachers' integration of 21st century skills in Saudi schools</w:t>
      </w:r>
    </w:p>
    <w:p>
      <w:r>
        <w:t xml:space="preserve"> </w:t>
      </w:r>
    </w:p>
    <w:p>
      <w:pPr>
        <w:pStyle w:val="Heading2"/>
      </w:pPr>
      <w:r>
        <w:t>Short Hypothesis</w:t>
      </w:r>
    </w:p>
    <w:p>
      <w:r>
        <w:t>A blended professional development (PD) program for English and mathematics teachers causes an increase of at least 0.20 standard deviations in students' standardized 21st-century competency task scores compared to business-as-usual, measured after one academic term.</w:t>
      </w:r>
    </w:p>
    <w:p>
      <w:r>
        <w:t xml:space="preserve"> </w:t>
      </w:r>
    </w:p>
    <w:p>
      <w:pPr>
        <w:pStyle w:val="Heading2"/>
      </w:pPr>
      <w:r>
        <w:t>Related Work</w:t>
      </w:r>
    </w:p>
    <w:p>
      <w:r>
        <w:t>Previous studies measuring 21st-century skills in classrooms often rely on teacher self-reports or single-observer case studies, produce weak causal evidence, and rarely compare subjects (English vs mathematics). Many evaluations use small or convenience samples, lack stratified designs for gender-segregated contexts, and do not test measurement invariance (whether instruments work the same across groups). Professional development trials commonly report low fidelity measurement and poor handling of noncompliance, limiting causal claims. Observational rubrics exist (e.g., P21-style) but are seldom adapted, validated, and piloted for local languages and gendered school systems. Prior analytic approaches often use basic ANCOVA or simple multilevel models without robust small-cluster inference (e.g., wild bootstrap or randomization inference) or instrumental-variable methods for per-protocol effects. Gaps: lack of subject-specific comparisons, triangulated observation vs self-report, rigorous fidelity/dose-response analysis, and MOE-aligned sampling in Saudi contexts.</w:t>
      </w:r>
    </w:p>
    <w:p>
      <w:r>
        <w:t xml:space="preserve"> </w:t>
      </w:r>
    </w:p>
    <w:p>
      <w:pPr>
        <w:pStyle w:val="Heading2"/>
      </w:pPr>
      <w:r>
        <w:t>Abstract</w:t>
      </w:r>
    </w:p>
    <w:p>
      <w:r>
        <w:t>We test whether a culturally adapted, blended professional development (PD) program increases student competencies in 21st-century skills in Saudi English and mathematics classrooms. The study uses a cluster randomized design assigning schools to PD or business-as-usual, with stratification by region, school type, and gender-segregation. Primary outcome is a standardized student competency task score (mean=0, SD=1). We combine teacher surveys, two independent classroom observations per teacher using an adapted rubric, and student performance tasks. Main contributions: (1) a subject-specific, MOE-aligned trial design for Saudi contexts; (2) validated Arabic instruments with pre-specified psychometrics and measurement-invariance testing; (3) causal estimands including ITT and complier average causal effect (CACE) via assignment as an instrument and pre-specified dose–response modeling using restricted cubic splines. Expected outcome: rigorous evidence on PD effectiveness, fidelity thresholds for scale-up, and clear policy-relevant recommendations for MOE on PD dosage and classroom practices.</w:t>
      </w:r>
    </w:p>
    <w:p>
      <w:r>
        <w:t xml:space="preserve"> </w:t>
      </w:r>
    </w:p>
    <w:p>
      <w:pPr>
        <w:pStyle w:val="Heading2"/>
      </w:pPr>
      <w:r>
        <w:t>Experiments</w:t>
      </w:r>
    </w:p>
    <w:p>
      <w:r>
        <w:t>Datasets and sample: stratified cluster sample of ~480 teachers across 60 schools (avg. 8 teachers/school), stratified by region (Central, Eastern, Other), school type (public/private), and gender (boys/girls); observe two 30–45 minute lessons per teacher; sample ~20 students per observed class. Pilot: 100 teachers for survey validation, 30 paired observations, 12 cognitive interviews. Baselines: business-as-usual PD (control), PD without fidelity monitoring (ablation), and teacher-self-report-only measurement (ablation). Primary outcome: student standardized competency task score (mean 0, SD 1). Secondary outcomes: observed teacher practice composite, PD fidelity index (0–100), student collaborative problem-solving rubric. Evaluation metrics: effect size (SD units), 95% CI, p-value, power/MDE curves, ICC estimates, Cronbach's alpha/omega ≥0.70 for scales, inter-rater ICC ≥0.70 for observations, measurement-invariance indices (CFI/TLI ≥0.95, RMSEA ≤0.06, ΔCFI ≤0.01). Experimental setup: cluster randomization at school level; pre/post measurement (baseline covariate = baseline student score). Primary analysis: three-level multilevel ANCOVA (students nested in teachers nested in schools) with baseline adjustment, cluster-robust SEs, and wild cluster bootstrap for small-cluster inference. Causal per-protocol: estimate CACE/LATE using assignment as instrument (first-stage F&gt;10), define compliance binary (&gt;=80% sessions or fidelity&gt;=70) and continuous (hours attended, fidelity score). Dose–response: restricted cubic spline with 3 knots at empirical 10th, 50th, 90th percentiles; report marginal effects and CIs. Ablation/estimator comparisons: ANCOVA vs multilevel ANCOVA vs multilevel IV; ITT vs per-protocol; analytic sensitivity to attrition (10–20%) and unequal cluster sizes. Pre-registration: all outcomes and estimands, multiplicity gatekeeping (primary then up to four secondary), and code for simulations will be archived.</w:t>
      </w:r>
    </w:p>
    <w:p>
      <w:r>
        <w:t xml:space="preserve"> </w:t>
      </w:r>
    </w:p>
    <w:p>
      <w:pPr>
        <w:pStyle w:val="Heading2"/>
      </w:pPr>
      <w:r>
        <w:t>Risk Factors And Limitations</w:t>
      </w:r>
    </w:p>
    <w:p>
      <w:r>
        <w:t>Approval and access: delays from Ministry of Education or regional directorates may reduce sample size. Noncompliance: teachers may not attend PD or partially comply; weak instrument risk if assignment poorly predicts attendance. Measurement: rubric may show rater drift or low inter-rater reliability (risk if ICC &lt;0.70). Psychometrics: instruments may fail measurement invariance across gender or region, limiting pooled inference. Spillovers: within-school contamination if control teachers learn from treated colleagues. Attrition and missing data: student or teacher dropout (10–20%) may bias estimates if not missing at random. Small-cluster inference: with fewer than ~50 clusters, standard SEs can be biased; need robust inference but residual risk remains. Generalization: results are context-specific to Saudi gender-segregated schools and may not generalize to other countries. Resource limits: training raters, translation/back-translation, and secure data handling increase cost and time; scalability conclusions depend on cost-effectiveness analysis not included here. Technical failures: weak first-stage F (&lt;10) undermines CACE/IV estimates; non-monotonic compliance patterns violate IV assumptions.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