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reproducing_inequality_ses_social_digital</w:t>
      </w:r>
    </w:p>
    <w:p>
      <w:r>
        <w:t xml:space="preserve"> </w:t>
      </w:r>
    </w:p>
    <w:p>
      <w:pPr>
        <w:pStyle w:val="Heading2"/>
      </w:pPr>
      <w:r>
        <w:t>Title</w:t>
      </w:r>
    </w:p>
    <w:p>
      <w:r>
        <w:t>Causal mediation analysis of socioeconomic status, social capital, and digital literacy on timely college application and matriculation</w:t>
      </w:r>
    </w:p>
    <w:p>
      <w:r>
        <w:t xml:space="preserve"> </w:t>
      </w:r>
    </w:p>
    <w:p>
      <w:pPr>
        <w:pStyle w:val="Heading2"/>
      </w:pPr>
      <w:r>
        <w:t>Short Hypothesis</w:t>
      </w:r>
    </w:p>
    <w:p>
      <w:r>
        <w:t>Higher baseline socioeconomic status causally increases the probability of timely and complete college application and subsequent matriculation, with part of this effect transmitted through social capital and digital literacy.</w:t>
      </w:r>
    </w:p>
    <w:p>
      <w:r>
        <w:t xml:space="preserve"> </w:t>
      </w:r>
    </w:p>
    <w:p>
      <w:pPr>
        <w:pStyle w:val="Heading2"/>
      </w:pPr>
      <w:r>
        <w:t>Related Work</w:t>
      </w:r>
    </w:p>
    <w:p>
      <w:r>
        <w:t>Existing work documents strong associations between socioeconomic status (SES) and higher-education access, and has separately examined social capital (networks, mentorship) and digital literacy (skills and access). Prior mediation studies often use cross-sectional data or parametric structural equation models (SEM) that do not account for time-varying confounders. Studies of digital literacy frequently rely on self-report scales and omit performance-based tasks; social-capital measures often lack detailed name-generator inventories and coder reliability checks. Causal inference efforts have used simple regression adjustment or instrumental-variable (IV) designs with limited falsification tests; marginal structural models (MSMs) and targeted methods (TMLE, targeted maximum likelihood estimation) are rare in this domain. Limits in prior approaches include residual confounding, poor measurement of mediators, weak or untested instruments, lack of administrative outcome linkage (applications, admissions, enrollment), insufficient sensitivity analyses, and limited attention to multilevel clustering and spillovers within schools.</w:t>
      </w:r>
    </w:p>
    <w:p>
      <w:r>
        <w:t xml:space="preserve"> </w:t>
      </w:r>
    </w:p>
    <w:p>
      <w:pPr>
        <w:pStyle w:val="Heading2"/>
      </w:pPr>
      <w:r>
        <w:t>Abstract</w:t>
      </w:r>
    </w:p>
    <w:p>
      <w:r>
        <w:t>This study tests whether baseline socioeconomic status (SES) influences timely and complete college application and matriculation and quantifies how much of that effect operates through social capital and digital literacy. We combine longitudinal cohort data, validated multi-item and performance-based digital literacy measures, detailed network inventories for social capital, and administrative records of application timing and enrollment. The analysis uses a preregistered causal framework: directed acyclic graphs (DAGs) to state identifying assumptions, marginal structural models with stabilized inverse-probability weights to address time-varying confounding, and targeted estimation (TMLE with cross-fitting) for robust effect estimates. We report total, direct, and indirect (mediated) effects, moderated mediation by linking ties and digital skills, and multilevel interactions by school resources. Main contributions are (1) integrating high-quality mediator measurement with rigorous longitudinal causal estimation, (2) contrasting estimators and sensitivity bounds when identifying assumptions fail, and (3) providing policy-relevant effect sizes (absolute risk differences and mediated proportions). Expected outcome: clear, reproducible estimates of how social and digital resources transmit SES disparities into higher-education access.</w:t>
      </w:r>
    </w:p>
    <w:p>
      <w:r>
        <w:t xml:space="preserve"> </w:t>
      </w:r>
    </w:p>
    <w:p>
      <w:pPr>
        <w:pStyle w:val="Heading2"/>
      </w:pPr>
      <w:r>
        <w:t>Experiments</w:t>
      </w:r>
    </w:p>
    <w:p>
      <w:r>
        <w:t>Datasets: longitudinal cohort of U.S. high-school students followed from 9th grade to matriculation (target N=4,000 across ~100 schools), waves at 9th, 11th, senior spring, plus administrative linkages to FAFSA timestamps, Common App records, and National Student Clearinghouse enrollment. Supplementary quasi-experiments: county-level broadband rollout timing and randomized near-peer mentoring pilot data where available. Baselines: (A) naive multilevel logistic regression adjusted for covariates, (B) parametric SEM mediation, (C) marginal structural model (MSM) with stabilized IP weights, (D) TMLE with cross-fitting (targeted machine-learning estimator). Evaluation metrics: absolute risk difference in timely complete application and matriculation (primary), odds ratios, hazard ratios for time-to-application (Cox model), mediated proportion (indirect/total), 95% confidence intervals (bootstrap or influence-function), effective sample size of weights, standardized mean differences after weighting, inter-rater Cohen's kappa for network coding, measurement invariance p-values for CFA/IRT. Experimental setup: 1) Preprocess covariates with prespecified coding and impute missing data using multiple imputation with auxiliaries. 2) Estimate total effects via multilevel models with cluster-robust SEs. 3) Estimate mediation via MSM+g-computation and TMLE for natural and interventional analogues; compute bootstrap CIs (2,000 reps). 4) Compare estimators in an ablation study: remove performance-based digital-literacy tasks (ablation A) and remove linking-tie indicators (ablation B) to assess attenuation. 5) Instrumental analysis using broadband rollout and mentoring lotteries where available; report AR/CLR robust tests for weak instruments. 6) Sensitivity analyses: E-values for unmeasured confounding and selection-bias grids. 7) Report prespecified subgroup analyses (first-generation, race/ethnicity, rurality) with hierarchical shrinkage and minimum cell-size checks.</w:t>
      </w:r>
    </w:p>
    <w:p>
      <w:r>
        <w:t xml:space="preserve"> </w:t>
      </w:r>
    </w:p>
    <w:p>
      <w:pPr>
        <w:pStyle w:val="Heading2"/>
      </w:pPr>
      <w:r>
        <w:t>Risk Factors And Limitations</w:t>
      </w:r>
    </w:p>
    <w:p>
      <w:r>
        <w:t>Unmeasured confounding: unobserved variables (motivation, unmeasured parental involvement) could bias mediation estimates; sensitivity analyses may not fully resolve this. Measurement error: self-reports and network recall can be inaccurate; coder misclassification of tie types may persist. Selection and attrition: differential dropout by SES can bias results and reduce power. Instrument validity: broadband rollouts and pilots may violate exclusion restrictions if they affect outcomes through other channels. Interference/spillovers: peer effects within schools may violate no-interference assumptions, complicating causal attribution. Scalability and compute: TMLE with cross-fitting and bootstrap CIs across large multilevel data require substantial compute and careful tuning. Privacy and ethics: linking digital-trace and administrative data faces legal and consent constraints, limiting generalizability. External validity: results from sampled districts or pilots may not generalize to different states, countries, or application systems.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