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chatgpt4_prompted_texts_reading_intervention</w:t>
      </w:r>
    </w:p>
    <w:p>
      <w:r>
        <w:t xml:space="preserve"> </w:t>
      </w:r>
    </w:p>
    <w:p>
      <w:pPr>
        <w:pStyle w:val="Heading2"/>
      </w:pPr>
      <w:r>
        <w:t>Title</w:t>
      </w:r>
    </w:p>
    <w:p>
      <w:r>
        <w:t>Cluster randomized evaluation of ChatGPT-4 generated texts from student prompts to improve fourth-grade reading comprehension, strategy use, and reading motivation</w:t>
      </w:r>
    </w:p>
    <w:p>
      <w:r>
        <w:t xml:space="preserve"> </w:t>
      </w:r>
    </w:p>
    <w:p>
      <w:pPr>
        <w:pStyle w:val="Heading2"/>
      </w:pPr>
      <w:r>
        <w:t>Short Hypothesis</w:t>
      </w:r>
    </w:p>
    <w:p>
      <w:r>
        <w:t>Classrooms that use teacher‑scaffolded student prompts to generate ChatGPT‑4 texts embedded in explicit strategy instruction will produce greater gains in reading comprehension (Woodcock‑Johnson IV Passage Comprehension) after 8–12 weeks than classrooms receiving business‑as‑usual reading instruction.</w:t>
      </w:r>
    </w:p>
    <w:p>
      <w:r>
        <w:t xml:space="preserve"> </w:t>
      </w:r>
    </w:p>
    <w:p>
      <w:pPr>
        <w:pStyle w:val="Heading2"/>
      </w:pPr>
      <w:r>
        <w:t>Related Work</w:t>
      </w:r>
    </w:p>
    <w:p>
      <w:r>
        <w:t>Existing approaches to improving elementary reading include differentiated human‑authored texts, computer‑assisted reading programs, and limited experiments using large language models (LLMs) for text personalization. Differentiated texts target readability but are costly to produce at scale. Adaptive tutoring systems can provide feedback but often lack interest personalization and flexible text generation. Early LLM uses show promise for generating interest‑driven content but suffer from inconsistent prompt design, undocumented generation settings, and weak safety/factuality checks. Prior studies rarely combine rigorous fidelity monitoring, reproducible prompt libraries, and mixed‑methods process data. Limitations across these approaches are: poor reproducibility of text generation steps, sparse evidence from randomized cluster trials, insufficient alignment of generated text difficulty to validated readability metrics, inadequate automated screening for hallucinations or harmful content, and limited measurement of strategy use and motivation as mechanisms of change.</w:t>
      </w:r>
    </w:p>
    <w:p>
      <w:r>
        <w:t xml:space="preserve"> </w:t>
      </w:r>
    </w:p>
    <w:p>
      <w:pPr>
        <w:pStyle w:val="Heading2"/>
      </w:pPr>
      <w:r>
        <w:t>Abstract</w:t>
      </w:r>
    </w:p>
    <w:p>
      <w:r>
        <w:t>We investigate whether ChatGPT‑4 can be used to generate classroom texts from student prompts that improve fourth‑grade reading comprehension, strategic reading behaviors, and reading motivation. The study combines a small, versioned library of teacher‑ and student‑facing prompt templates stratified by three reading levels with an automated pre‑filter pipeline for toxicity and factuality and a fidelity protocol for teacher prompt scaffolding and strategy instruction. Main contributions are: (1) an operational prompt‑engineering toolkit with objective prompt/text quality metrics, (2) an automated filter and logging schema for safe classroom deployment, and (3) a preregistered cluster randomized trial testing learning and motivational outcomes. Expected outcomes are measurable gains in standardized comprehension scores, increased use of reading strategies, and higher momentary engagement compared to business‑as‑usual instruction. The work produces reproducible artifacts (templates, metrics, logs) to enable replication, and clarifies how AI‑generated, student‑prompted texts function as instructional tools in real classrooms.</w:t>
      </w:r>
    </w:p>
    <w:p>
      <w:r>
        <w:t xml:space="preserve"> </w:t>
      </w:r>
    </w:p>
    <w:p>
      <w:pPr>
        <w:pStyle w:val="Heading2"/>
      </w:pPr>
      <w:r>
        <w:t>Experiments</w:t>
      </w:r>
    </w:p>
    <w:p>
      <w:r>
        <w:t>Participants and data: Grade 4 students in 30 classrooms (approx. 600 students; mean class size m=20). Primary instrument: Woodcock‑Johnson IV (WJ‑IV) Passage Comprehension (scaled score). Secondary instruments: DIBELS/WCPM (oral reading fluency), Motivation for Reading Questionnaire (MRQ), researcher strategy‑use rubric coded from observations and think‑alouds, session momentary engagement ratings. Text sources: (A) ChatGPT‑4 texts produced from templates with teacher scaffold; (B) ChatGPT‑4 texts produced from student prompts without teacher scaffold; (C) human‑authored texts matched for readability. Baselines: business‑as‑usual (BAU) reading instruction; BAU + human‑authored matched texts. Randomization and design: cluster randomized trial (classroom unit), 1:1 allocation, stratified by baseline reading tertile, school SES, and ELL concentration. Intervention dose: 2 sessions/week for 8 weeks. Data collection at pre, immediate post, and 8‑12 week follow‑up. Prompt/text quality metrics (computed for every generated text): Flesch‑Kincaid grade level (readability grade), Lexile proxy (sentence length × word frequency proxy), type‑token ratio (lexical diversity), concreteness score (average concreteness of content words), named‑entity overlap with prompt (content alignment), and content‑alignment score (cosine similarity between prompt and text topic embedding). Automated pre‑filters: toxicity score (threshold e.g., &gt;=0.7 flags), banned‑keyword list (exact match flags), named‑entity factuality check (entity lookup mismatch flags), hallucination heuristic (low overlap with prompt + high confidence claims flags). Outcomes and analysis: primary outcome is change in WJ‑IV scaled score analyzed via three‑level mixed effects model (time points nested in students nested in classrooms), intent‑to‑treat (ITT) as primary, complier average causal effect (CACE) as secondary. Covariance: unstructured covariance for repeated measures if supported; otherwise autoregressive (AR1). Missing data: multiple imputation by chained equations and FIML sensitivity. Moderators/mediators: baseline reading level, ELL/IEP status, prompt quality metrics, and observed strategy use; mediation via longitudinal mediation models with time‑varying mediator specification. Ablations and comparisons: (1) teacher‑scaffolded prompts (A) vs student‑only prompts (B); (2) AI‑generated texts (A) vs human‑authored matched texts (C); (3) explicit strategy meta‑prompts present vs absent within AI generation. Power and design effect scenarios: design effect DE = 1 + (m-1)*ICC where m=20. With ICC=0.02, DE=1.38; target total evaluable N≈348 (≈174 per arm) → recruit ~30 classrooms to allow 20% attrition. With ICC=0.05, DE=1.95; target total evaluable N≈491 → recruit ~32 classrooms. Analysis will report sensitivity to ICC and attrition.</w:t>
      </w:r>
    </w:p>
    <w:p>
      <w:r>
        <w:t xml:space="preserve"> </w:t>
      </w:r>
    </w:p>
    <w:p>
      <w:pPr>
        <w:pStyle w:val="Heading2"/>
      </w:pPr>
      <w:r>
        <w:t>Risk Factors And Limitations</w:t>
      </w:r>
    </w:p>
    <w:p>
      <w:r>
        <w:t>Technical failures: LLM hallucinations producing false or misleading facts in passages; automated factuality checks may miss nuanced errors. Safety and bias: toxicity filters or banned lists may produce false negatives or overblock culturally specific content. Fidelity and contamination: teacher drift from the scaffolded protocol or cross‑class sharing may reduce contrast and bias estimates. Measurement limits: ceiling or floor effects on standardized tests; motivation scales subject to social desirability. Generalization: results may not generalize beyond fourth grade, English learners with different home languages, or different curricula. Compute and cost: repeated LLM generations, filtering, and logging increase operational cost and require secure infrastructure. Privacy and regulation: handling prompt logs requires strict FERPA/GDPR compliance and may limit public data sharing. Statistical limits: moderator and mediation tests require larger samples for stable estimation; small effect sizes may be difficult to detect if ICCs or attrition are higher than planned.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