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accented_malayalam_hate_detection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Multi-stream hierarchical-attention deep learning with domain-adversarial accent invariance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handcrafted acoustic-linguistic features with fine-tuned self-supervised speech embeddings using hierarchical attention and domain-adversarial training will increase macro-F1 on hate-related classes by at least 5 percentage points on an accent-stratified held-out test set compared to a model using self-supervised embeddings alone.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hate-speech detection has used text transformers (e.g., BERT, XLM-RoBERTa) and speech models (e.g., wav2vec 2.0, HuBERT) to encode language and audio. Other efforts combined acoustic features (MFCCs, prosody) or speaker embeddings (x-vectors) with learned speech embeddings, and some applied domain-adversarial training to reduce domain bias. Limitations remain: (1) Most systems focus on majority accents and lack explicit dialectal metadata, reducing generalization to accented or diaspora speakers. (2) Studies rarely publish pre-registered statistical decision rules or power analyses, leaving sample-size choices unclear. (3) Synthetic-speech augmentation is used but often without empirical caps or bias checks, risking toxicity amplification. (4) Code-mixing and Romanized tokens receive limited, ad hoc G2P/transliteration handling, causing alignment and ASR errors. (5) Fairness evaluation is uneven: per-accent calibration, confidence reliability, and group-disparity thresholds are often missing. These gaps motivate targeted evaluation of accent-robust fusion, principled statistics, and synthetic-data governance.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hate speech detection in accented Malayalam speech by proposing a multi-stream deep learning framework that fuses engineered acoustic-linguistic features with fine-tuned self-supervised speech embeddings and enforces accent invariance via domain-adversarial training. Engineered features include MFCCs (short-time spectral features), prosody (pitch and energy contours), phoneme-level alignment statistics, and speaker embeddings (x-vectors). Self-supervised embeddings are frame-level contextual vectors obtained from models such as wav2vec 2.0 (a model that learns speech patterns from raw audio). Streams are combined with a hierarchical attention module that weights modalities per utterance. We pre-register statistical decision rules, bootstrap and permutation tests, and explicit synthetic-data ablation experiments to set augmentation caps. The main contribution is an experimentally validated pipeline that (1) quantifies per-accent performance and calibration, (2) identifies synthetic-data utility-to-bias breakpoints, and (3) provides pre-registered sample-size targets and reproducible training recipes. Expected outcome: a reproducible accent-aware classifier with measured fairness metrics and clear statistical claims about improvements in macro-F1 on hate-related classes for accented Malayalam speech.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collect accent-stratified accented Malayalam corpus targeting 30k–50k utterances (speaker-disjoint), with metadata: dialect region (Malabar, Central, Travancore, diaspora), age bracket, gender, code-mix rate, device, and SNR. Provide forced-aligned phoneme annotations and ASR transcripts. Produce speaker-disjoint train/dev/test splits 70/15/15 stratified by accent and demographics. Pilot: 300–500 labeled utterances per label per major dialect for power analysis. Baselines: (B1) MFCC+prosody+x-vector → 2-layer BiLSTM(512) → attention → classifier; (B2) fine-tuned wav2vec 2.0 encoder → classifier; (B3) fusion (handcrafted + wav2vec) without adversarial; (B4) fusion with domain-adversarial accent classifier (gradient reversal). Additional baselines: cascaded ASR→text-classifier using XLM-RoBERTa and end-to-end acoustic-to-label model. Evaluation metrics: macro-F1 on hate-related classes (primary), per-accent F1, per-class average precision (AP), expected calibration error (ECE), ROC/PR curves, equal opportunity difference and predictive parity across dialects. Statistical tests: bootstrap CIs with 1000 iterations (fixed seed list [42,101,202,303,404]) and permutation tests with 5000 iterations for pairwise comparisons. ASR analysis: bin WER into 0–10%, 10–20%, 20–40%, &gt;40% and report Δmacro-F1 per bin. Forced-alignment metrics: phone error rate (PER) and mean phone boundary error (ms) on a 200-utterance holdout. Hyperparameter and model selection: search ranges published and pre-registered: learning rate in [1e-5,1e-3], batch size {16,32,64}, dropout [0.1,0.5], number of BiLSTM units {256,512}; use AdamW optimizer, early stopping patience 10 validation epochs, repeat experiments with 5 random seeds. Compute budget: 4 GPUs (A100/V100 class) for 14 days total. Augmentation ablation: test synthetic-speech ratios {0%,10%,20%,40%} and controlled noise/pitch/speed perturbations; record per-accent ΔF1 and group-disparity changes. Ablation studies: (A) handcrafted only vs learned only vs fused; (B) fused without adversarial vs with adversarial; (C) multi-task (severity, intent) vs single-task; (D) transliteration pipeline on code-mixed inputs vs raw romanized routing. Reproducibility: publish containerized pipelines, fixed seeds, hardware specs, exact feature configs, and experiment manifests.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domain-adversarial training may remove useful accent cues and reduce hate-class discriminability; fusion may overfit to metadata-rich speakers. Data and annotation biases: uneven label prevalence across dialects or demographic strata can bias classifiers; annotator disagreement on sarcasm or reclaimed slurs can reduce label quality. Synthetic-data risks: synthetic speech can introduce speaker-identity leakage, artifact patterns, or toxicity amplification that increase group disparities. ASR and G2P failures: Romanized Malayalam and heavy code-mixing can produce high ASR WER and poor phoneme alignments, degrading cascaded systems. Scalability and compute: fine-tuning large self-supervised models needs substantial GPU time and memory, limiting reproducibility for low-resource groups. Statistical constraints: small strata sizes may yield wide confidence intervals preventing firm claims for rare groups. Generalization limits: results will be specific to Malayalam dialects and collected conditions and may not transfer to other languages or unseen accents. Ethical and privacy limits: audio contains sensitive content and may expose annotators to harm; public release may require controlled-access agreements and cannot fully prevent misuse.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