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fuzzy_distinction_tw_windfarm</w:t>
      </w:r>
    </w:p>
    <w:p>
      <w:r>
        <w:t xml:space="preserve"> </w:t>
      </w:r>
    </w:p>
    <w:p>
      <w:pPr>
        <w:pStyle w:val="Heading2"/>
      </w:pPr>
      <w:r>
        <w:t>Title</w:t>
      </w:r>
    </w:p>
    <w:p>
      <w:r>
        <w:t>Applying fuzzy-distinction aggregation to delineate precautionary areas for wind farm siting along Taiwan's western coast</w:t>
      </w:r>
    </w:p>
    <w:p>
      <w:r>
        <w:t xml:space="preserve"> </w:t>
      </w:r>
    </w:p>
    <w:p>
      <w:pPr>
        <w:pStyle w:val="Heading2"/>
      </w:pPr>
      <w:r>
        <w:t>Short Hypothesis</w:t>
      </w:r>
    </w:p>
    <w:p>
      <w:r>
        <w:t>Incorporating observation-aware Bayesian calibration of fuzzy membership functions and dependence-aware uncertainty sampling will produce high-precaution alpha bands that better match independent wildlife incident and detection data than conventional binary buffer or deterministic weighted-sum approaches.</w:t>
      </w:r>
    </w:p>
    <w:p>
      <w:r>
        <w:t xml:space="preserve"> </w:t>
      </w:r>
    </w:p>
    <w:p>
      <w:pPr>
        <w:pStyle w:val="Heading2"/>
      </w:pPr>
      <w:r>
        <w:t>Related Work</w:t>
      </w:r>
    </w:p>
    <w:p>
      <w:r>
        <w:t>Existing approaches for delimiting precautionary or exclusion zones for offshore wind farms typically use binary buffers, deterministic weighted-sum suitability surfaces, or simple rule-based overlays. More recent work adds Bayesian calibration, GIS data harmonization, and stakeholder elicitation to improve parameter choices and transparency. Sensitivity analyses (e.g., Sobol) and copula-based dependence modeling have been used elsewhere but are not yet standard in precautionary mapping. Limitations of current methods include: (1) weak treatment of observation error and detection processes for acoustic, telemetry, and AIS data; (2) aggregation choices often untested or fixed (max, sum, OWA) with little decision linkage to policy; (3) insufficient propagation of parameter and structural uncertainty into final bands; (4) emulator and surrogate model validation practices are often underspecified, risking poor tail estimation; and (5) validation commonly relies on AUC or overlap metrics alone rather than proper scoring rules and spatially-explicit CV.</w:t>
      </w:r>
    </w:p>
    <w:p>
      <w:r>
        <w:t xml:space="preserve"> </w:t>
      </w:r>
    </w:p>
    <w:p>
      <w:pPr>
        <w:pStyle w:val="Heading2"/>
      </w:pPr>
      <w:r>
        <w:t>Abstract</w:t>
      </w:r>
    </w:p>
    <w:p>
      <w:r>
        <w:t>We address the problem of delineating precautionary spatial bands for offshore wind siting that explicitly quantify ecological risk and uncertainty. We propose a method that translates multiple ecological and human-use criteria into fuzzy membership fields, calibrates membership-function parameters in a Bayesian hierarchical model that includes observation and detection processes, and samples joint uncertainty with dependence modeled by copulas. Aggregation is performed with multiple operators (fuzzy mean, intersection, OWA) and transformed into nested alpha-cut bands. We generate ensemble precaution maps and report band-wise coverage probabilities, Sobol sensitivity indices, and spatial validation against independent incident and detection datasets. The main contribution is an uncertainty-aware, observation-informed fuzzy-distinction pipeline that yields policy-relevant, confidence-tagged precaution bands for a pilot 50×50 km nearshore tile on Taiwan's west coast. The expected outcome is reproducible, auditable maps and diagnostics that improve decision transparency and highlight priority data needs for regulators and stakeholders.</w:t>
      </w:r>
    </w:p>
    <w:p>
      <w:r>
        <w:t xml:space="preserve"> </w:t>
      </w:r>
    </w:p>
    <w:p>
      <w:pPr>
        <w:pStyle w:val="Heading2"/>
      </w:pPr>
      <w:r>
        <w:t>Experiments</w:t>
      </w:r>
    </w:p>
    <w:p>
      <w:r>
        <w:t>Datasets: pilot 50×50 km nearshore tile (sector A) including: AIS vessel tracks (time-stamped), passive acoustic monitoring (PAM) detections with duty-cycle metadata, marine mammal telemetry points, seabird survey counts, bathymetry and seabed substrate grids, fishing effort footprints, protected-area polygons, and incident logs (wildlife strikes or conflicts). Preprocessing: reproject to EPSG:3826, rasterize at 100 m resolution, produce monthly slices for seasonal criteria. Baselines: (B1) binary buffer masks around sensitive features, (B2) deterministic weighted-sum fuzzy surfaces without uncertainty, (B3) conservative fuzzy intersection (min) without calibration, (B4) recent Bayesian-calibrated approach that omits detection models. Model: full pipeline calibrates fuzzy membership priors via Bayesian hierarchical model (PyMC) with explicit observation/detection components (distance-based detection functions, duty cycle, false-positive/negative structure). Dependence: fit copulas (Gaussian, t, vine) to sample joint uncertainty. Uncertainty analysis: Saltelli-Sobol with Nbase=2000 for p&lt;=10; if p&gt;12 or compute limited, train Gaussian Process emulator on 5,000 Latin-hypercube runs and validate. Ablations: (A1) remove observation model, (A2) fix weights instead of elicited weights, (A3) sample criteria independently (no copula), (A4) use emulator vs full MC. Validation: spatial-block cross-validation with block sizes 10–20 km (variogram-based), 5 folds. Metrics: CRPS (continuous ranked probability score) for μ-fields, continuous Boyce index, normalized RMSE, spatial alpha-band precision and recall (area-based), coverage probability P(μ&gt;α) for α thresholds {0.5,0.8}, Sobol first- and total-order indices with 95% bootstrap CIs, and emulator holdout RMSE and tail diagnostics (quantile errors). Runtime and reproducibility: containerized runs with ~4–8 hours on 16 cores for full MC pilot; report results per-fold and per-month slices.</w:t>
      </w:r>
    </w:p>
    <w:p>
      <w:r>
        <w:t xml:space="preserve"> </w:t>
      </w:r>
    </w:p>
    <w:p>
      <w:pPr>
        <w:pStyle w:val="Heading2"/>
      </w:pPr>
      <w:r>
        <w:t>Risk Factors And Limitations</w:t>
      </w:r>
    </w:p>
    <w:p>
      <w:r>
        <w:t>1) Detection-model misspecification: incomplete or wrong detection functions for PAM, telemetry, or AIS can bias calibrated membership parameters. 2) Sparse or biased observations: limited PAM/telemetry data or uneven survey effort will reduce identifiability and inflate uncertainty. 3) Prior sensitivity: results may depend strongly on prior choices if data are weak. 4) Copula overfitting or misselection: dependence models may overfit in data-sparse zones, producing misleading joint uncertainty. 5) Emulator failure modes: surrogate models (GP or polynomial chaos) may not capture extreme tail behaviour important for high-precaution bands. 6) Spatial nonstationarity and scale dependence: membership and dependence structures may change with location and resolution, limiting transferability. 7) Compute and storage limits: Sobol budgets and Bayesian calibration can be computationally heavy for fine resolution or many parameters. 8) Data governance constraints: licensing or privacy on AIS/telemetry may restrict data sharing and reproducibility. 9) Decision ambiguity: different aggregation rules produce materially different bands, which may lead to stakeholder disagreement. 10) Generalization limits: methods tuned on western Taiwan pilot may not directly generalize to other regions without re-calibration.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