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comparative_islam_aesthetics_dh</w:t>
      </w:r>
    </w:p>
    <w:p>
      <w:r>
        <w:t xml:space="preserve"> </w:t>
      </w:r>
    </w:p>
    <w:p>
      <w:pPr>
        <w:pStyle w:val="Heading2"/>
      </w:pPr>
      <w:r>
        <w:t>Title</w:t>
      </w:r>
    </w:p>
    <w:p>
      <w:r>
        <w:t>A multimodal computational pipeline to detect influence, translation, and syncretism in Islamic aesthetic texts and artifacts</w:t>
      </w:r>
    </w:p>
    <w:p>
      <w:r>
        <w:t xml:space="preserve"> </w:t>
      </w:r>
    </w:p>
    <w:p>
      <w:pPr>
        <w:pStyle w:val="Heading2"/>
      </w:pPr>
      <w:r>
        <w:t>Short Hypothesis</w:t>
      </w:r>
    </w:p>
    <w:p>
      <w:r>
        <w:t>Combining time-aware multilingual text embeddings with automated visual motif similarity and structured evidentiary tags causes automated detection of documented influence, translation, and syncretism cases to achieve F1 &gt;= 0.75 on a held-out expert-adjudicated gold standard.</w:t>
      </w:r>
    </w:p>
    <w:p>
      <w:r>
        <w:t xml:space="preserve"> </w:t>
      </w:r>
    </w:p>
    <w:p>
      <w:pPr>
        <w:pStyle w:val="Heading2"/>
      </w:pPr>
      <w:r>
        <w:t>Related Work</w:t>
      </w:r>
    </w:p>
    <w:p>
      <w:r>
        <w:t>Prior work includes advanced OCR/HTR systems for historical Arabic-script materials, multilingual pretrained transformers for cross-lingual semantic similarity, corpus-linguistic methods for lexical change, and computer-vision models for motif retrieval. Limits: OCR/HTR pipelines often fail on medieval orthography and diacritics, reducing downstream text quality. Multilingual embeddings capture some semantic similarity but suffer diachronic drift and polysemy across historical stages and genres. Visual motif recognition has progressed on modern museum datasets but lacks robust transfer to degraded manuscript/tile imagery and rarely links reliably to text. Existing studies typically treat text and image signals separately, lack large expert-adjudicated gold standards, provide weak provenance controls, and do not operationalize clear, shared decision rules for relational claims (influence/translation/syncretism). Reproducibility and ethical governance are also inconsistent across projects.</w:t>
      </w:r>
    </w:p>
    <w:p>
      <w:r>
        <w:t xml:space="preserve"> </w:t>
      </w:r>
    </w:p>
    <w:p>
      <w:pPr>
        <w:pStyle w:val="Heading2"/>
      </w:pPr>
      <w:r>
        <w:t>Abstract</w:t>
      </w:r>
    </w:p>
    <w:p>
      <w:r>
        <w:t>This project develops and validates a multimodal, reproducible pipeline to operationalize "comparativeness" in Islamic aesthetics. The pipeline fuses time-aware multilingual text embeddings (which are contextual vector representations of words over time), token-alignment metrics, automated motif similarity on high-resolution images, and structured evidentiary tags (explicit fields that record philological or material evidence). Main contributions are: (1) a pre-registered codebook with decision trees for influence, translation, and syncretism labels; (2) a 1,200-item expert-adjudicated gold standard and a 480-item calibration set; and (3) open reproducible workflows for OCR/HTR, temporal embedding alignment, motif retrieval, and a weighted multi-evidence confidence score. Expected outcome: an empirically justified set of operational thresholds and a validated composite model that detects relational claims with interpretable confidence scores, enabling philologically credible, scalable comparative analysis of Islamic texts and artifacts.</w:t>
      </w:r>
    </w:p>
    <w:p>
      <w:r>
        <w:t xml:space="preserve"> </w:t>
      </w:r>
    </w:p>
    <w:p>
      <w:pPr>
        <w:pStyle w:val="Heading2"/>
      </w:pPr>
      <w:r>
        <w:t>Experiments</w:t>
      </w:r>
    </w:p>
    <w:p>
      <w:r>
        <w:t>Datasets: assemble multilingual corpus of 1,500–3,000 textual documents (Arabic, Persian, Ottoman Turkish, Urdu) and 2,000–5,000 high-resolution images; produce a 1,200-item expert-adjudicated gold standard stratified by language and period; sample 480 calibration pairs drawn from the gold set but held out from model test folds. OCR/HTR: train models (Transkribus/Kraken/Calamari) per script/time-bin with 200 annotated pages per script/time-slice; evaluate CER (character error rate) and WER (word error rate). Embeddings: fine-tune XLM-R in temporal bins (pre-1000, 1000–1500, 1500–1850, 1850–present); align bins by orthogonal Procrustes using an anchor-word list of 50 stable lexemes. Visual: fine-tune EfficientNet/ResNet50 backbones with DELF-style local descriptors on tile/manuscript motif subsets. Baselines: (A) text-only cosine similarity on pretrained XLM-R, (B) token-alignment score (exact/near match), (C) visual-only motif similarity, (D) rule-based philological matching (colophon/patron heuristics). Metrics: precision, recall, F1 for influence/translation/syncretism labels; ROC AUC and PR curves for continuous confidence; Krippendorff's alpha for annotation reliability; CER/WER for OCR; embedding-drift measured as cosine shift of anchor words. Experimental setup: split gold set into train/validation/test with stratified 70/15/15 splits; calibration 480 pairs used to choose operating thresholds via ROC/PR analysis and then fixed before test evaluation; 5-fold cross-validation on training data for hyperparameter selection; report results on held-out test fold. Ablations: (1) remove visual modality, (2) remove temporal binning, (3) remove provenance evidence from composite score, and (4) replace fine-tuned embeddings with off-the-shelf multilingual embeddings. Report failure analyses, confusion matrices, and per-language/per-period breakdowns.</w:t>
      </w:r>
    </w:p>
    <w:p>
      <w:r>
        <w:t xml:space="preserve"> </w:t>
      </w:r>
    </w:p>
    <w:p>
      <w:pPr>
        <w:pStyle w:val="Heading2"/>
      </w:pPr>
      <w:r>
        <w:t>Risk Factors And Limitations</w:t>
      </w:r>
    </w:p>
    <w:p>
      <w:r>
        <w:t>OCR/HTR failure modes: high CER/WER for degraded pages or nonstandard orthography can corrupt embeddings. Annotation risks: low inter-annotator agreement on relational tags, especially for rare syncretism cases, limiting model supervision. Data sparsity: some temporal/language bins may lack sufficient pages to train time-aware embeddings; models may overfit to better-represented archives. Embedding limitations: diachronic drift and genre confounds may yield spurious similarity; anchor-word alignment may be sensitive to anchor choice. Visual transfer limits: motif models trained on curated tiles may not generalize to worn or partial motifs. Compute and scale: fine-tuning multiple temporal bins and multimodal fusion require significant GPU resources. Ethical/legal limits: copyright or cultural sensitivities may constrain public release of images or metadata. Generalization: results may not extend beyond selected pilot regions and genres; relational confidence is not a substitute for full philological judgment.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