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spanish_winery_resilience</w:t>
      </w:r>
    </w:p>
    <w:p>
      <w:r>
        <w:t xml:space="preserve"> </w:t>
      </w:r>
    </w:p>
    <w:p>
      <w:pPr>
        <w:pStyle w:val="Heading2"/>
      </w:pPr>
      <w:r>
        <w:t>Title</w:t>
      </w:r>
    </w:p>
    <w:p>
      <w:r>
        <w:t>Mixed-methods causal analysis of resilience capacities predicting agro-industrial performance in Spanish wineries</w:t>
      </w:r>
    </w:p>
    <w:p>
      <w:r>
        <w:t xml:space="preserve"> </w:t>
      </w:r>
    </w:p>
    <w:p>
      <w:pPr>
        <w:pStyle w:val="Heading2"/>
      </w:pPr>
      <w:r>
        <w:t>Short Hypothesis</w:t>
      </w:r>
    </w:p>
    <w:p>
      <w:r>
        <w:t>Higher adaptive capacity in a winery causes faster recovery of revenue after a climatic shock than a comparable increase in absorptive capacity.</w:t>
      </w:r>
    </w:p>
    <w:p>
      <w:r>
        <w:t xml:space="preserve"> </w:t>
      </w:r>
    </w:p>
    <w:p>
      <w:pPr>
        <w:pStyle w:val="Heading2"/>
      </w:pPr>
      <w:r>
        <w:t>Related Work</w:t>
      </w:r>
    </w:p>
    <w:p>
      <w:r>
        <w:t>Existing work combines case studies, surveys, spatial analysis, and causal methods (difference-in-differences, panel fixed effects, structural equation models) to study resilience in agro-industries. Comparative and mixed-methods studies highlight the value of triangulating quantitative indicators with interviews and network mapping. Spatial econometrics and event-study methods have been used to measure local shock effects. Limitations in prior approaches include: limited longitudinal firm-level financial panels for causal identification; inadequate measurement of transformative capacity (hard to observe governance reconfiguration); insufficient treatment of spatial dependence and spillovers; weak or untested instrument validity for natural and policy shocks; small-cluster inference problems when clusters are few; and limited integration of administrative records, remote sensing, and participatory qualitative data. These gaps reduce confidence in causal effect sizes and in the transportability of results to policy.</w:t>
      </w:r>
    </w:p>
    <w:p>
      <w:r>
        <w:t xml:space="preserve"> </w:t>
      </w:r>
    </w:p>
    <w:p>
      <w:pPr>
        <w:pStyle w:val="Heading2"/>
      </w:pPr>
      <w:r>
        <w:t>Abstract</w:t>
      </w:r>
    </w:p>
    <w:p>
      <w:r>
        <w:t>This project tests which resilience capacities (absorptive, adaptive, transformative) causally predict short- and long-term economic, social, and environmental performance in Spanish wineries using a mixed-methods comparative design. We combine a longitudinal firm panel (administrative financials and a planned survey of ~500 wineries across multiple Denominaciones de Origen), high-resolution climate and remote-sensing exposure data, quasi-experimental shock variation (climate extremes and policy cutoffs), spatial econometric models, and linked qualitative interviews and network maps. The main contribution is an explicitly preregistered causal analysis that measures differential effects of capacity types on concrete outcomes—revenue recovery time, profitability margins, employment stability, and environmental stress indicators—and traces mechanisms through mediation models and configurational analysis. Expected outcomes are robust, policy-relevant effect estimates and validated resilience indicators that support cost-effectiveness comparisons of adaptation investments. (Technical note: "adaptive capacity" means capacity to change practices; "absorptive" means buffers like cash; "transformative" means structural reorganization.)</w:t>
      </w:r>
    </w:p>
    <w:p>
      <w:r>
        <w:t xml:space="preserve"> </w:t>
      </w:r>
    </w:p>
    <w:p>
      <w:pPr>
        <w:pStyle w:val="Heading2"/>
      </w:pPr>
      <w:r>
        <w:t>Experiments</w:t>
      </w:r>
    </w:p>
    <w:p>
      <w:r>
        <w:t>Datasets: (1) Firm panel: Mercantile Registry/SABI/Orbis where available, cooperative audited books, and a planned survey panel of ≈500 wineries across 6–12 DOs spanning 10–15 years (yearly), with firm_id, DO_id, municipality, and parcel coordinates. (2) Climate &amp; remote sensing: SPEI drought index, station frost days, ERA5/CHIRPS precipitation, Sentinel/MODIS NDVI/EVI, soil moisture layers. (3) Governance &amp; networks: DO registries, cooperative membership lists, participatory social network maps. Baselines: OLS cross-section, firm fixed-effects (FE) panel, FE panel without spatial terms, and FE panel with spatial lag (SAR) or spatial error (SEM). Causal estimators: generalized DiD/event-study, IV/2SLS with instruments (SPEI extremes, frost events, administrative CAP/DO cutoffs), structural equation modeling (SEM) for mediation, and Qualitative Comparative Analysis (QCA) for configurations. Evaluation metrics: time-to-recovery in quarters (time until revenue returns to pre-shock level), change in EBITDA margin (percentage points), revenue volatility (standard deviation of revenue), employment stability (probability of unchanged employment year-to-year), NDVI anomaly and water-stress index. Statistical tests and diagnostics: first-stage F-stat (&gt;10 threshold), McCrary density test for manipulation at cutoffs, placebo event tests (falsified treatment years), lead coefficient pre-trend tests, cluster-robust SEs at municipality, CR2 and wild bootstrap when clusters &lt;50, Holm-Bonferroni family-wise correction for multiple tests. Ablation studies: (A) compare adaptive vs absorptive vs transformative indices as single predictors; (B) compare estimators: FE vs FE+SAR/SEM vs IV; (C) compare administrative-only financials vs survey self-reports; (D) remove spatial lag to observe bias from omitted spillovers. Pre-registration: full model list, covariate sets (time-varying controls: weather, input prices, vintage effects; time-invariant: firm type), clustering level, and primary outcome definitions will be registered before main analysis.</w:t>
      </w:r>
    </w:p>
    <w:p>
      <w:r>
        <w:t xml:space="preserve"> </w:t>
      </w:r>
    </w:p>
    <w:p>
      <w:pPr>
        <w:pStyle w:val="Heading2"/>
      </w:pPr>
      <w:r>
        <w:t>Risk Factors And Limitations</w:t>
      </w:r>
    </w:p>
    <w:p>
      <w:r>
        <w:t>Measurement error: self-reported financials and resilience indices may be noisy, producing attenuation bias. Endogeneity and weak instruments: resilience investments may be endogenous to unobserved firm shocks; instruments (climate extremes, policy cutoffs) can be weak or violate exclusion. Spatial spillovers and contamination: nearby shock responses can violate SUTVA and make it hard to separate direct effects from spillovers. Small-cluster inference: if the number of clusters (municipalities) is low, standard errors may be unreliable even with CR2 or wild bootstrap. Data gaps and GDPR constraints: administrative access may be restricted, leading to missing firms or biased frames. Attrition: panel attrition over years can bias dynamic estimates if nonrandom. Limited observation of transformative capacity: structural governance change is rare and hard to measure, reducing power for tests about transformation. External validity: findings may not generalize beyond Spanish DOs or to other agro-industries with different institutions or market structures. Computational limits: high-resolution spatial-power simulations and SAR/SEM models over many panels are computationally intensive and may limit extensive grid searches in practice.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