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fruit_vouchers_nigeria_vietnam</w:t>
      </w:r>
    </w:p>
    <w:p>
      <w:r>
        <w:t xml:space="preserve"> </w:t>
      </w:r>
    </w:p>
    <w:p>
      <w:pPr>
        <w:pStyle w:val="Heading2"/>
      </w:pPr>
      <w:r>
        <w:t>Title</w:t>
      </w:r>
    </w:p>
    <w:p>
      <w:r>
        <w:t>Cluster-randomized trial to estimate the causal impact of monthly fruit vouchers on household fruit consumption and local market prices in Nigeria and Vietnam</w:t>
      </w:r>
    </w:p>
    <w:p>
      <w:r>
        <w:t xml:space="preserve"> </w:t>
      </w:r>
    </w:p>
    <w:p>
      <w:pPr>
        <w:pStyle w:val="Heading2"/>
      </w:pPr>
      <w:r>
        <w:t>Short Hypothesis</w:t>
      </w:r>
    </w:p>
    <w:p>
      <w:r>
        <w:t>Provision of monthly fruit vouchers to targeted low-income households increases household per-capita daily fruit servings by at least 0.25 standard deviations compared to control households.</w:t>
      </w:r>
    </w:p>
    <w:p>
      <w:r>
        <w:t xml:space="preserve"> </w:t>
      </w:r>
    </w:p>
    <w:p>
      <w:pPr>
        <w:pStyle w:val="Heading2"/>
      </w:pPr>
      <w:r>
        <w:t>Related Work</w:t>
      </w:r>
    </w:p>
    <w:p>
      <w:r>
        <w:t>Existing studies of food subsidies, in-kind transfers, and vouchers evaluate demand effects on consumption but often omit rigorous measurement of local price responses and vendor behavior. Prior impact evaluations typically randomize beneficiaries at the household level or use unconditional cash transfers; they face challenges isolating demand-driven price pass-through and supply responses. Common limitations are: weak or untested instruments for local demand shocks; inadequate measurement of spillovers between nearby markets; reliance on self-reported dietary recall without objective validation; few designs that randomize supply-side incentives for vendors; and limited pre-specification of inference for small numbers of clusters. These gaps leave open questions about whether vouchers raise consumption net of substitution, whether they cause local price inflation, and how vendor incentives change supply dynamics and program cost-effectiveness.</w:t>
      </w:r>
    </w:p>
    <w:p>
      <w:r>
        <w:t xml:space="preserve"> </w:t>
      </w:r>
    </w:p>
    <w:p>
      <w:pPr>
        <w:pStyle w:val="Heading2"/>
      </w:pPr>
      <w:r>
        <w:t>Abstract</w:t>
      </w:r>
    </w:p>
    <w:p>
      <w:r>
        <w:t>We study whether monthly fruit vouchers for low-income households increase fruit consumption without causing harmful local price effects. Using a cluster-randomized controlled trial (clusters = market catchments or villages) in Nigeria and Vietnam, we allocate clusters to control, low-value voucher, high-value voucher, and high-value voucher plus vendor incentive arms. Primary measurement combines household 24-hour recalls and FFQ (food frequency questionnaire) with vendor price and sales panels and voucher redemption logs; a biomarker substudy (vitamin C / carotenoids) validates intake in a subsample. Analytically, we estimate intention-to-treat (ITT) effects on per-capita fruit servings and use assignment as an instrument for redemption to obtain complier average causal effects (CACE). We also estimate price pass-through using instrumented local demand and difference-in-differences (market × time). The main contribution is a tightly integrated demand-and-supply evaluation that tests whether vouchers increase nutritious intake while measuring market-level responses and cost-effectiveness for policy relevance.</w:t>
      </w:r>
    </w:p>
    <w:p>
      <w:r>
        <w:t xml:space="preserve"> </w:t>
      </w:r>
    </w:p>
    <w:p>
      <w:pPr>
        <w:pStyle w:val="Heading2"/>
      </w:pPr>
      <w:r>
        <w:t>Experiments</w:t>
      </w:r>
    </w:p>
    <w:p>
      <w:r>
        <w:t>Datasets: (1) Household surveys at baseline, midline (3–6 months), endline (6–12 months) including multiple-pass 24-hour recall and FFQ for fruit intake; household expenditure modules; child anthropometry. (2) Weekly vendor-level price and quantity panel: price/kg, quantities sold, procurement source, stockouts. (3) Voucher redemption logs and mobile-money/POS records with geolocation and timestamps. (4) Biomarker substudy: plasma vitamin C and serum carotenoids for n≈400 per country (subsample). (5) External market series: national/regional price indices and wholesale prices. Arms/Baselines: control (no voucher), low-value monthly voucher, high-value monthly voucher, high-value voucher + vendor incentive. Evaluation metrics: primary — per-capita daily fruit servings (mean and SD), household fruit expenditure; secondary — MDD-W (dietary diversity for women), child MUAC/HAZ, vendor price/kg, redemption rate, cost per additional serving. Statistical setup: cluster-randomized design stratified by baseline consumption, urban/rural, region; target power to detect 0.25 SD ITT (Nigeria ≈23 clusters/arm, Vietnam ≈18 clusters/arm, cluster size m≈30). Analysis methods: ITT via ANCOVA with baseline covariates and cluster-robust SEs; CACE via 2SLS using random assignment as instrument for observed redemption (2SLS = two-stage least squares, a standard method to estimate effect among compliers); price pass-through via difference-in-differences with market and week fixed effects, instrumenting local demand with assignment-induced redemption momentum (instrument is predicted local redemption from assignment). Inference checks: wild cluster bootstrap and randomization inference for small numbers of clusters; report first-stage F-statistics, partial R2, and weak-instrument-robust confidence intervals. Ablation and comparisons: (A) compare high-value versus low-value vouchers (value dose-response); (B) compare high-value with and without vendor incentive to assess supply response; (C) exclude biomarker subsample to test sensitivity of main intake estimates to objective validation; (D) compare exposure metrics: fixed-radius exposure (2.5/5/10 km) versus empirical catchments derived from travel-time or transaction data. Pre-specified heterogeneity: urban/rural, baseline consumption tertiles, household income, and market vendor density. Cost-effectiveness: compute program cost per additional serving-month and per household meeting intake target.</w:t>
      </w:r>
    </w:p>
    <w:p>
      <w:r>
        <w:t xml:space="preserve"> </w:t>
      </w:r>
    </w:p>
    <w:p>
      <w:pPr>
        <w:pStyle w:val="Heading2"/>
      </w:pPr>
      <w:r>
        <w:t>Risk Factors And Limitations</w:t>
      </w:r>
    </w:p>
    <w:p>
      <w:r>
        <w:t>Instrument validity threats: vendors or market actors may anticipate the program, share information, or be directly targeted, violating the exclusion restriction for instruments (this weakens causal interpretation). Low redemption or uptake reduces first-stage strength (weak instrument), producing imprecise CACE estimates; report first-stage F-statistics and weak-instrument robust intervals. Small number of clusters creates finite-sample inference risks; standard cluster SEs may be biased — inference must consider bootstrap or randomization methods. Spillovers and exposure measurement: fixed radii (e.g., 5/10 km) may misclassify true catchments and bias estimates; empirical catchment estimation may be limited by data availability. Seasonal supply constraints and shocks (weather, transport) can confound demand–price estimation if not fully observed. Biomarker logistics: cold-chain failures, processing delays, and assay variability (need special stabilizers and lab accreditation) can bias biomarker validation. Measurement error: self-reported dietary recall includes recall bias and portion-size misreporting. Market behavior risks: vouchers could cause short-term local price inflation, quality deterioration, bundling, or resale, complicating welfare interpretation. Generalizability: results from selected regions may not extend to other countries or market structures. Data privacy: geolocated redemption data and small-cluster releases risk re-identification in sparse areas.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