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ageing_osh_productivity_trial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Stepped-wedge cluster randomized trial and multilevel causal mediation analysis of occupational safety and health interventions to improve productivity and musculoskeletal outcomes in an ageing workforce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combined package of targeted ergonomic redesign and assistive technologies increases objective productivity (units produced per hour) at 12 weeks compared with usual practice in ageing workers.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has evaluated ergonomic, assistive, task-redesign, and psychosocial interventions for older workers and used causal mediation and advanced statistical models to explore mechanisms. Existing studies often rely on small non-randomized samples, short follow-up, self-reported productivity, or single-site pilots. Limitations include: lack of cluster-randomized or stepped-wedge designs that control for site-level effects and time trends; limited objective productivity measures (units/hour) used as primary outcomes; sparse or no wearable-based biomechanical mediators to test mechanisms; incomplete pre-specification of mixed-effects models and covariate adjustment; inadequate handling of unequal cluster sizes and informative dropout; weak privacy/data-governance descriptions for wearable data; and few integrated economic evaluations (ROI) from employer perspective. These gaps reduce causal certainty, hinder scalability assessment, and limit policy-relevant inference.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whether workplace occupational safety and health (OSH) interventions raise objective productivity and reduce musculoskeletal burden in ageing workers. We propose a stepped-wedge cluster randomized trial using a packaged intervention (targeted ergonomic redesign plus assistive technologies, with optional task rotation) deployed sequentially across sites. The primary outcome is units produced per hour at 12 weeks. Analysis uses a linear mixed-effects model (random intercepts for cluster and worker; fixed period effects) to estimate the population-average treatment effect. Wearable sensors will generate biomechanical mediator summaries (e.g., cumulative spinal loading, peak trunk flexion, percent-shift in-excess posture) measured in weeks 1–8; multilevel causal mediation and parametric g-computation will test mechanism pathways. Secondary outcomes include safety incidents, pain VAS, absenteeism, WHO-HPQ, and ROI from employer perspective. Main contributions: (1) prespecified inferential model and sample-size simulations across ICC and dropout ranges; (2) explicit wearable mediator definitions and mediation plan; and (3) integrated economic and safety monitoring for scalable, policy-relevant evidence.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Study design: stepped-wedge cluster randomized trial across 12–24 clusters (worksites) with average cluster size 20–30 workers; staggered roll-out in 4–8 steps. Primary comparison: intervention period vs control (pre-rollout) within clusters. Arms for ablation: full package (ergonomics + assistive tech + training), ergonomics-only, and waitlist control (usual practice). Datasets: primary site-collected operational production logs (units and hours), wearable sensor streams (acceleration, trunk and limb angles at worker sampling), HR/injury records, and surveys (WHO-HPQ, pain VAS, NASA-TLX, Work Ability Index). Baselines: usual practice; ergonomics-only arm as active baseline. Evaluation metrics: primary: units/hour at 12 weeks; secondary: WHO-HPQ presenteeism, safety incidents per 100 FTE, pain VAS (0–10), absenteeism days, NASA-TLX, ROI (net present value of productivity gains). Model specification (primary inferential model): linear mixed-effects model (LMM) formula: units_ij = beta0 + beta1*treat_period_ij + beta2*baseline_units_ij + beta3*age_ij + beta4*tenure_ij + beta5*jobrole_ij + sum(period_k) + u_cluster_j + u_worker_ij + epsilon_ij. Where u_cluster_j ~ N(0,sigma_c^2) is cluster random intercept, u_worker_ij ~ N(0,sigma_w^2) is worker random intercept, and epsilon_ij ~ N(0,sigma_e^2). Period fixed effects adjust for secular trends. Covariates pre-specified: baseline units/hour, age, tenure, job role (manual/cognitive/mixed), shift (day/night), and site indicator. Unequal cluster sizes: accounted for in simulation and implemented via cluster-weighted estimation and sandwich variance. Missing data plan: multiple imputation under MAR including cluster and auxiliary variables; inverse-probability weighting (IPW) for informative dropout; pattern-mixture model sensitivity analyses and explicit treatment rules for work-exit (include in ITT, define mITT/per-protocol as described). Mediation definitions and windows: wearable summaries aggregated per shift and weekly; cumulative spinal loading = time-integral of lumbar moment (moment·time summed over shift); peak trunk flexion = 95th percentile of sampled trunk flexion angles; time-in-excess = percent of shift with angle &gt; predefined threshold; aggregation window for mediation = weeks 1–8. Mediation analysis: multilevel causal mediation (Imai-style) with parametric g-computation to estimate indirect effects, joint-mediator modeling for correlated mediators (multivariate mediator models), and sensitivity checks for unmeasured mediator–outcome confounding. Power/simulation plan: run full simulations across ICC in {0.01,0.02,0.04,0.06}, SD as 10–20% of mean units/hr, dropout 5–20% to select cluster count to achieve 80–90% power to detect relative effect sizes of 5–8% (absolute depends on baseline mean). Sparse-event safety analysis: negative-binomial GLMM with small-sample corrections and Bayesian hierarchical count models as sensitivity. Ablations: (A) remove assistive tech from package, (B) remove wearable mediators from model to assess added explanatory power, (C) vary per-protocol adherence cutpoints (75% vs 60% vs 90%) to test robustness.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Recruitment and retention risk: older workers may decline wearable use or drop out, leading to informative missingness. Wearable noncompliance: low sampling or device discomfort may bias mediator summaries. Sparse safety events: rare adverse events limit statistical power for safety inference and complicate stopping-rule calibration. Unmeasured confounding in mediation: wearable mediators may not capture all biomechanical or psychosocial pathways, biasing indirect effect estimates. Cluster heterogeneity and unequal sizes: large between-site differences may reduce precision and complicate pooling. Data privacy and jurisdictional rules: cross-site data transfers and hosting constraints may limit pooled analyses. Technical failures: sensor, network, or device failures can produce missing high-frequency data. Generalizability: results from participating industries or sites may not extend to all sectors or to very small employers. Economic monetization limits: converting productivity changes to monetary ROI depends on employer-specific unit valuation and may not generalize. Limited long-term evidence: primary endpoint at 12 weeks provides short-term effect estimates; longer-term sustainment is uncertain.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