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cross_national_osh_hierarchical_did_bayesian</w:t>
      </w:r>
    </w:p>
    <w:p>
      <w:r>
        <w:t xml:space="preserve"> </w:t>
      </w:r>
    </w:p>
    <w:p>
      <w:pPr>
        <w:pStyle w:val="Heading2"/>
      </w:pPr>
      <w:r>
        <w:t>Title</w:t>
      </w:r>
    </w:p>
    <w:p>
      <w:r>
        <w:t>Hierarchical difference-in-differences with Bayesian underreporting correction to estimate effects of occupational safety and health interventions across countries</w:t>
      </w:r>
    </w:p>
    <w:p>
      <w:r>
        <w:t xml:space="preserve"> </w:t>
      </w:r>
    </w:p>
    <w:p>
      <w:pPr>
        <w:pStyle w:val="Heading2"/>
      </w:pPr>
      <w:r>
        <w:t>Short Hypothesis</w:t>
      </w:r>
    </w:p>
    <w:p>
      <w:r>
        <w:t>Adoption of mandatory, actively enforced occupational safety and health (OSH) policies causes a reduction in occupational injury incidence rates compared to comparable non-adopting contexts, after adjusting for underreporting and country-level differences.</w:t>
      </w:r>
    </w:p>
    <w:p>
      <w:r>
        <w:t xml:space="preserve"> </w:t>
      </w:r>
    </w:p>
    <w:p>
      <w:pPr>
        <w:pStyle w:val="Heading2"/>
      </w:pPr>
      <w:r>
        <w:t>Related Work</w:t>
      </w:r>
    </w:p>
    <w:p>
      <w:r>
        <w:t>Existing approaches for evaluating OSH policies include difference-in-differences (DiD) and interrupted time series (ITS) for policy timing, synthetic control for single-unit interventions, multilevel (hierarchical) count models for pooled cross-country estimation, and capture–recapture or survey benchmarking for reporting bias. Recent methodological work on staggered adoption provides estimators that account for varying treatment times, while Bayesian measurement-error models have been used to adjust for under-ascertainment. Limitations across these approaches include: (1) inconsistent variable coding and lack of harmonized crosswalks that prevent pooling; (2) failure to propagate uncertainty from underreporting correction into effect estimates; (3) limited use of hierarchical pooling to borrow strength across countries and sectors while estimating heterogeneity; (4) inadequate diagnostics and sensitivity checks for parallel trends, spillovers, and mapping uncertainty; and (5) few reproducible pipelines combining provenance-tracked harmonization, policy intensity coding, and joint causal plus measurement-error models.</w:t>
      </w:r>
    </w:p>
    <w:p>
      <w:r>
        <w:t xml:space="preserve"> </w:t>
      </w:r>
    </w:p>
    <w:p>
      <w:pPr>
        <w:pStyle w:val="Heading2"/>
      </w:pPr>
      <w:r>
        <w:t>Abstract</w:t>
      </w:r>
    </w:p>
    <w:p>
      <w:r>
        <w:t>We address the problem of producing comparable, uncertainty-aware estimates of occupational safety and health (OSH) policy effects across countries where outcome reporting and coding differ. We propose a pipeline that (1) harmonizes administrative and survey data to standard industry, occupation, and outcome codes with explicit mapping confidence metadata; (2) encodes policy interventions by date, scope, intensity, and enforcement; (3) estimates causal effects using hierarchical difference-in-differences and staggered-adoption estimators to produce pooled average treatment effects and country-specific impacts; and (4) corrects outcome underascertainment with a hierarchical Bayesian underreporting model whose posterior draws are propagated into the treatment-effect models. Main contributions are a reproducible harmonization schema with provenance tracking, integrated measurement-error correction for underreporting, and multilevel causal estimation that quantifies heterogeneity by country, industry, and firm size. Expected outcomes are comparable effect sizes with credible uncertainty bounds, validated sensitivity analyses for mapping and reporting assumptions, and an open analysis pipeline for cross-national OSH evaluation.</w:t>
      </w:r>
    </w:p>
    <w:p>
      <w:r>
        <w:t xml:space="preserve"> </w:t>
      </w:r>
    </w:p>
    <w:p>
      <w:pPr>
        <w:pStyle w:val="Heading2"/>
      </w:pPr>
      <w:r>
        <w:t>Experiments</w:t>
      </w:r>
    </w:p>
    <w:p>
      <w:r>
        <w:t>Datasets: (1) Administrative OSH event records and employment denominators from Germany, Sweden, and Brazil (national-level aggregated and event-level where available). (2) National survey estimates and sentinel clinic datasets for reporting-fraction calibration. (3) Synthetic datasets emulating diverse reporting systems for method validation. Baselines: (A) naive aggregated Poisson GEE without harmonization or underreporting correction, (B) DiD with country×time fixed effects but no hierarchical pooling, (C) synthetic control for single-unit cases. Proposed methods: hierarchical DiD / staggered-adoption estimators (Callaway &amp; Sant’Anna style), Sun &amp; Abraham event-study checks, multilevel Poisson/Negative Binomial with random intercepts and slopes (country and sector), and hierarchical Bayesian underreporting model (logit-scale hierarchical model for reporting_fraction). Evaluation metrics: bias (mean estimated minus true effect in simulation), RMSE, 95% interval coverage, interval width, detection rate (power) for pre-specified minimum detectable effect, pre-trend p-values, effective sample size (ESS) and Rhat for MCMC convergence, fit metrics (WAIC or LOO), and calibration of reporting_fraction posteriors. Experimental setup: (1) Harmonize raw codes to ISCO-08, NACE Rev.2, and ICD/ESAW/OIICS; record mapping_confidence flags. (2) Run baselines and proposed estimators on real and synthetic data using clustered robust SEs; for small cluster counts use wild bootstrap. (3) MCMC settings for Bayesian models: 4 chains, 2000 iterations per chain, 1000 warmup, adapt_delta=0.95; check Rhat&lt;1.1 and ESS&gt;200. (4) Simulation grid: vary true reporting_fraction in {0.1,0.3,0.5,0.7,0.9}, mapping_confidence share in {high,med,low}, pre-trend violation magnitude in {0,0.1,0.2} (relative change per pre-year), and spatial spillover share in {0,0.1,0.3}. Ablation studies: (a) with vs without Bayesian underreporting correction, (b) hierarchical pooling vs separate country models, (c) logit-scale vs Beta(α,β) parameterizations for reporting_fraction, (d) weighting by mapping_confidence vs unweighted. Report comparisons of bias, RMSE, coverage, and power across all conditions.</w:t>
      </w:r>
    </w:p>
    <w:p>
      <w:r>
        <w:t xml:space="preserve"> </w:t>
      </w:r>
    </w:p>
    <w:p>
      <w:pPr>
        <w:pStyle w:val="Heading2"/>
      </w:pPr>
      <w:r>
        <w:t>Risk Factors And Limitations</w:t>
      </w:r>
    </w:p>
    <w:p>
      <w:r>
        <w:t>Technical identifiability: reporting_fraction may be weakly identified without adequate sentinel or survey calibration, causing wide posteriors. Model mis-specification: violation of parallel trends or omitted confounders can bias DiD estimates. Data heterogeneity: inconsistent or missing denominators and coarse local codes reduce precision and comparability. Small sample constraints: few treated units or short time series limit power and prevent reliable event-study diagnostics. Spatial spillovers: policy effects that cross units break control assumptions. Computational cost: hierarchical Bayesian MCMC and spatial models can be slow and require compute resources. Privacy and legal limits: data access restrictions and anonymization (date shifts, k-anonymity) may reduce temporal or granular signal. Generalization limits: findings may not transfer to countries with fundamentally different labor markets, enforcement systems, or reporting cultures.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