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women_tourism_ai_inclusivity</w:t>
      </w:r>
    </w:p>
    <w:p>
      <w:r>
        <w:t xml:space="preserve"> </w:t>
      </w:r>
    </w:p>
    <w:p>
      <w:pPr>
        <w:pStyle w:val="Heading2"/>
      </w:pPr>
      <w:r>
        <w:t>Title</w:t>
      </w:r>
    </w:p>
    <w:p>
      <w:r>
        <w:t>Interpretable hybrid AI pipeline for diagnosing and reducing barriers to entrepreneurship for women in tourism</w:t>
      </w:r>
    </w:p>
    <w:p>
      <w:r>
        <w:t xml:space="preserve"> </w:t>
      </w:r>
    </w:p>
    <w:p>
      <w:pPr>
        <w:pStyle w:val="Heading2"/>
      </w:pPr>
      <w:r>
        <w:t>Short Hypothesis</w:t>
      </w:r>
    </w:p>
    <w:p>
      <w:r>
        <w:t>Providing women entrepreneurs in tourism with actionable outputs from an interpretable hybrid AI diagnostic plus a conversational mentor will causally increase monthly revenue and loan approval rates compared to comparable women who do not receive these AI services.</w:t>
      </w:r>
    </w:p>
    <w:p>
      <w:r>
        <w:t xml:space="preserve"> </w:t>
      </w:r>
    </w:p>
    <w:p>
      <w:pPr>
        <w:pStyle w:val="Heading2"/>
      </w:pPr>
      <w:r>
        <w:t>Related Work</w:t>
      </w:r>
    </w:p>
    <w:p>
      <w:r>
        <w:t>Existing approaches include data-driven barrier diagnostics using surveys and market data, recommendation systems for small businesses, conversational agents for administrative support, fairness-aware recommenders, and privacy techniques such as federated learning (FL) and differential privacy (DP). Diagnostics often use black-box models that give accurate predictions but limited actionable explanations. Recommenders and marketplace systems typically optimize for clicks or revenue, which can amplify popularity bias and reduce exposure for marginalized sellers. Conversational agents using retrieval-augmented generation (RAG) improve factuality but can hallucinate and lack contestable explanations. Fairness methods exist for group metrics but rarely model intersectional groups (e.g., gender × ethnicity × rurality). Privacy approaches (FL, DP) show trade-offs in small-sample and low-connectivity settings. Limitations across prior work are: fragmented datasets about women entrepreneurs, lack of intersectional evaluation, insufficient user-facing explainability for non-technical users, limited privacy accounting tuned for small deployments, and few randomized causal evaluations that measure business outcomes.</w:t>
      </w:r>
    </w:p>
    <w:p>
      <w:r>
        <w:t xml:space="preserve"> </w:t>
      </w:r>
    </w:p>
    <w:p>
      <w:pPr>
        <w:pStyle w:val="Heading2"/>
      </w:pPr>
      <w:r>
        <w:t>Abstract</w:t>
      </w:r>
    </w:p>
    <w:p>
      <w:r>
        <w:t>This project develops and evaluates an interpretable hybrid AI pipeline to diagnose and reduce barriers faced by women entrepreneurs in tourism. The pipeline combines (1) a Barrier Diagnostic and Recommendation Engine that ingests structured surveys and contextual data and outputs prioritized, explainable interventions, (2) a multilingual conversational mentor for administrative tasks and skills coaching, and (3) an inclusion-focused recommender to improve market exposure. Hybrid models pair simple symbolic or rule-based checks with tree ensembles and local explanations (e.g., SHAP) so non-technical users can understand why recommendations were made. The design embeds privacy-preserving options (federated learning and differential privacy for aggregated analytics) and intersectional fairness metrics. The main contribution is a reproducible, tested stack that links model outputs to measurable business outcomes and equity indicators. Expected impact is demonstrable changes in revenue, bookings, and loan approvals for targeted subgroups, plus concrete evaluation artifacts (power tables, pre-registered estimands, privacy-accounting scripts) to support scaling and governance.</w:t>
      </w:r>
    </w:p>
    <w:p>
      <w:r>
        <w:t xml:space="preserve"> </w:t>
      </w:r>
    </w:p>
    <w:p>
      <w:pPr>
        <w:pStyle w:val="Heading2"/>
      </w:pPr>
      <w:r>
        <w:t>Experiments</w:t>
      </w:r>
    </w:p>
    <w:p>
      <w:r>
        <w:t>Datasets: (A) Locality A minimal viable dataset: structured baseline survey of 600 women entrepreneurs (demographics, business stage, digital access, monthly revenue time series for 12 months, bookings), marketplace transaction logs for participating platforms, NGO program records (loan applications/status), geospatial coarse locations, and tourism demand indicators; (B) Supplementary public tourism demand and mobility indicators; (C) Synthetic augmentation for underrepresented intersectional strata using controlled generative methods. Splits: random split by business_id into train 60%, val 20%, test 20% with stratification by key intersectional strata. Cross-locality test: hold-out a second locality for external validation. Baselines: (1) no-AI control (standard NGO support), (2) rule-based diagnostic only, (3) black-box model diagnostic (tree ensemble) without user-facing explanations, (4) conversational agent with retrieval-only responses (no generation), (5) recommender optimized for clicks (popularity baseline). Evaluation metrics: Primary business metrics: percent change in monthly revenue (continuous), change in monthly bookings, loan approval rate (binary). Equity metrics: disparate impact ratio by subgroup, equalized odds difference, subgroup calibration error. Trust/usability: pictorial UMUX-Lite score and adapted trust scale mean. Explainability metrics: explanation fidelity (agreement between explanation and model prediction changes) and user comprehension rate (percent of users who correctly state why an action was recommended). Privacy/security metrics: empirical membership inference risk and attribute inference risk. Experimental setup: implement a cluster randomized trial (CRT) at neighborhood/market cluster level with clusters sized 10–30 businesses; target sample per arm: 150 businesses for continuous outcomes and 200 businesses for binary outcomes per site based on power tables; simulate ICCs 0.01, 0.05, 0.1 and attrition scenarios 10%, 20%, 30% for planning. Pre-specify primary estimands and analysis models: for continuous outcomes use mixed-effects linear model with cluster random intercepts; for binary outcomes use mixed-effects logistic regression; adjust for baseline covariates and use robust standard errors. Missing data: primary analysis via multiple imputation; pre-register MNAR sensitivity analyses. Comparisons and ablations: (i) interpretable hybrid vs black-box diagnostic to measure effect of explanations on business outcomes and comprehension; (ii) FL+DP training vs central training to measure utility-privacy trade-off and membership risk; (iii) recommender with fairness regularizer vs popularity baseline to measure equitable exposure. Statistical tests: two-sided tests with α=0.05, multiple-comparison adjustments using Benjamini-Hochberg for families of related outcomes, and subgroup heterogeneity tests pre-specified for intersectional strata.</w:t>
      </w:r>
    </w:p>
    <w:p>
      <w:r>
        <w:t xml:space="preserve"> </w:t>
      </w:r>
    </w:p>
    <w:p>
      <w:pPr>
        <w:pStyle w:val="Heading2"/>
      </w:pPr>
      <w:r>
        <w:t>Risk Factors And Limitations</w:t>
      </w:r>
    </w:p>
    <w:p>
      <w:r>
        <w:t>Technical failure modes: model degradation due to small sample sizes, high class imbalance, or noisy revenue reporting. Data and evaluation biases: self-reported revenue errors, selection bias from NGO recruitment, and survival bias if failing businesses drop out. Scalability and compute limits: limited client device memory and intermittent connectivity reduce FL participation and increase rounds; TEEs and secure aggregation add latency and cost. Privacy limitations: DP utility loss in small-sample settings and residual membership/attribute inference risk under adaptive attacks. Limits to causal inference: contamination and spillover via tourism networks can bias CRT estimates if clusters are not well separated. Subgroup power: intersectional subgroup sample sizes may be too small to detect moderate effects. Generalization: models trained in one locality may not transfer to other cultural or regulatory contexts. Explainability limits: users with low literacy may misunderstand explanations despite simplification. Legal and ethical constraints: jurisdictional data protection laws and consent complexities may restrict data sharing. Potential harms: elite capture, stigmatization of marginalized subgroups, and unintended reinforcement of existing market inequalities if fairness objectives are misspecified.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