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thai_eldercare_gender_norms</w:t>
      </w:r>
    </w:p>
    <w:p>
      <w:r>
        <w:t xml:space="preserve"> </w:t>
      </w:r>
    </w:p>
    <w:p>
      <w:pPr>
        <w:pStyle w:val="Heading2"/>
      </w:pPr>
      <w:r>
        <w:t>Title</w:t>
      </w:r>
    </w:p>
    <w:p>
      <w:r>
        <w:t>Mixed-method causal analysis of how social gender norms affect unpaid eldercare time in Thailand using quasi-experimental estimators and behavioral measures</w:t>
      </w:r>
    </w:p>
    <w:p>
      <w:r>
        <w:t xml:space="preserve"> </w:t>
      </w:r>
    </w:p>
    <w:p>
      <w:pPr>
        <w:pStyle w:val="Heading2"/>
      </w:pPr>
      <w:r>
        <w:t>Short Hypothesis</w:t>
      </w:r>
    </w:p>
    <w:p>
      <w:r>
        <w:t>Stronger community-level injunctive gender norms that adult daughters should provide eldercare causally increase the weekly unpaid caregiving hours of adult daughters relative to comparable adult sons, conditional on household composition and migration exposure.</w:t>
      </w:r>
    </w:p>
    <w:p>
      <w:r>
        <w:t xml:space="preserve"> </w:t>
      </w:r>
    </w:p>
    <w:p>
      <w:pPr>
        <w:pStyle w:val="Heading2"/>
      </w:pPr>
      <w:r>
        <w:t>Related Work</w:t>
      </w:r>
    </w:p>
    <w:p>
      <w:r>
        <w:t>Existing work measures social norms using descriptive (what people do) and injunctive (what people approve) items, uses time-use surveys to quantify unpaid care, applies quasi-experimental causal tools (difference-in-differences, regression discontinuity, instrumental variables), and employs list/randomized response methods to reduce social-desirability bias and behavioral tasks (dictator-like) to elicit prosociality. Limitations: many studies do not separate descriptive vs injunctive norms or test internalization pathways; measurement often lacks cultural validation and invariance across dialects; behavioral measures and incentivized tasks are infrequently combined with time-use diaries; causal identification is frequently weak when social context (community norms) and policy rollouts interact; social-desirability adjustments (list/RRT) are underpowered or not integrated with cluster designs; and few analyses translate causal estimates into policy scenarios via calibrated microsimulation.</w:t>
      </w:r>
    </w:p>
    <w:p>
      <w:r>
        <w:t xml:space="preserve"> </w:t>
      </w:r>
    </w:p>
    <w:p>
      <w:pPr>
        <w:pStyle w:val="Heading2"/>
      </w:pPr>
      <w:r>
        <w:t>Abstract</w:t>
      </w:r>
    </w:p>
    <w:p>
      <w:r>
        <w:t>Unpaid eldercare in Thailand is shaped by social gender norms but the causal role of those norms is unclear. This study combines qualitative validation, a pilot, a main mixed-method survey, incentivized behavioral tasks, and quasi-experimental estimators to test whether community-level injunctive norms increase unpaid care by daughters. We measure norms as separate latent constructs (descriptive, injunctive, internalization, and enforcement) and validate items across Thai dialects. Causal identification exploits staggered rollouts of community eldercare services (analyzed with cohort-specific DiD), eligibility cutoffs (regression discontinuity), and migration shocks instrumenting co-residence. Primary outcomes are weekly caregiver hours from 24-hour time-use diaries, caregiver labor supply, and caregiver mental-health scores. Main contributions are (1) a culture-sensitive measurement strategy that distinguishes normative constructs, (2) causal estimates combining complementary quasi-experimental designs, and (3) behavioral validation via incentivized tasks. Expected outcomes include credible estimates of the norm→care causal effect, measurement tools validated for Thai contexts, and parameters for policy microsimulations.</w:t>
      </w:r>
    </w:p>
    <w:p>
      <w:r>
        <w:t xml:space="preserve"> </w:t>
      </w:r>
    </w:p>
    <w:p>
      <w:pPr>
        <w:pStyle w:val="Heading2"/>
      </w:pPr>
      <w:r>
        <w:t>Experiments</w:t>
      </w:r>
    </w:p>
    <w:p>
      <w:r>
        <w:t>Datasets: (a) Pilot: 80–120 households across three strata (urban, rural Central, Northeastern/Isan) with cognitive interviews and diary testing. (b) Main survey: target N≈1,400 individuals with elders across ~48–50 clusters (villages/urban blocks), cluster sampling PPS (probability proportional to size), elder-presence screening. Primary outcomes: weekly unpaid caregiving hours derived from 7-day 24-hour diaries (hourly slots aggregated), caregiver paid-work hours/week, and caregiver mental-health score (WHO-5 or CES-D). Baselines: (i) pooled OLS and multilevel linear mixed models (random intercepts at household and community), (ii) Callaway &amp; Sant’Anna staggered DiD estimator (cohort-specific ATT; csdid) with event-study windows, (iii) Sun &amp; Abraham event-study as robustness, (iv) local linear RDD at old-age allowance cutoffs (triangular kernel, IK/CCT bandwidth selectors), (v) IV using distance to new industrial parks as instrument for adult-child co-residence (first-stage F-statistics reported). Note: ATT = average treatment effect on the treated; DiD = difference-in-differences; RDD = regression discontinuity; IV = instrumental variables. Measurement validation: confirmatory factor analysis (CFA) to construct latent norms (descriptive, injunctive, internalization); invariance tests (configural → metric → scalar) across urban/rural and dialect groups with fit thresholds CFI&gt;0.95, RMSEA&lt;0.06, SRMR&lt;0.08 (CFI = comparative fit index; RMSEA = root mean square error of approximation; SRMR = standardized root mean square residual). Survey modules: direct norm items, vignette battery, list experiment and Warner randomized response technique (RRT) alternatives, 24-hour diary, incentivized token allocation task (tokens convertible to cash/donation). Evaluation metrics: estimated causal effect on caregiver hours/week (absolute hours and standardized effect), change in employment hours, change in mental-health score, 95% clustered CIs, pre-trend p-values for event-study, RDD continuity tests (McCrary), first-stage F-stat for IV, CFA loadings and invariance ΔCFI/ΔRMSEA. Comparisons/ablations: (A) self-report retrospective caregiving vs diary-based caregiving vs incentivized helping task as outcome — compare effect sizes and measurement error; (B) csdid vs conventional two-way fixed effects (TWFE) to expose negative-weight artifacts; (C) models with community-level aggregated norms vs individual latent norms to separate contextual from individual effects; (D) list/RRT prevalence estimates vs direct item prevalence. Sample allocations: pilot tests items and translations; main sample N≈1,400 for primary analyses; list/RRT implemented in full main sample to allow subgroup estimates. Pre-analysis: pre-register primary estimands (ATT on caregiver hours over 12-month window post-treatment for rollout, local ATE at RDD cutoff) and multiplicity rule (familywise control for primary outcomes using Holm-Bonferroni).</w:t>
      </w:r>
    </w:p>
    <w:p>
      <w:r>
        <w:t xml:space="preserve"> </w:t>
      </w:r>
    </w:p>
    <w:p>
      <w:pPr>
        <w:pStyle w:val="Heading2"/>
      </w:pPr>
      <w:r>
        <w:t>Risk Factors And Limitations</w:t>
      </w:r>
    </w:p>
    <w:p>
      <w:r>
        <w:t>Measurement error and social-desirability bias may persist despite list/RRT and behavioral tasks, causing attenuation or bias. CFA invariance may fail across dialects or strata, limiting comparability of latent norms. Staggered DiD can produce negative weights and bias when timing heterogeneity is present; alternative aggregation may yield different estimates. IV exclusion restriction (industrial-park distance) may be violated if parks affect outcomes through local services or wages. RDD requires sharp discontinuities and sufficient observations near cutoffs; weak discontinuities reduce inference. Clustered design and ICC uncertainty can reduce effective sample size; attrition above 20–30% can compromise power and external validity. Behavioral tasks may not generalize to real-world caregiving decisions. Microsimulation outputs depend on calibration priors and inherit causal estimate uncertainty. Ethical and data-governance constraints (consent, PDPA) limit data sharing and sample framing. Generalization beyond Thai cultural and policy contexts is limited.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