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trade_sustain_fisheries_mse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Bayesian state-space and causal-inference ensemble with management strategy evaluation to quantify trade agreement impacts on fishery sustainability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Reductions in trade barriers that increase export-driven demand cause a measurable increase in fishing effort that raises the probability of spawning stock biomass falling below biological limit Blim within ten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include: (1) Bayesian state-space and surplus-production stock assessments that estimate biomass and fishing mortality while accounting for process and observation noise; (2) data-poor methods (CMSY, Catch-MSY, LBB) that infer productivity from catch histories using life-history priors; (3) Management Strategy Evaluation (MSE) frameworks that test management rules under uncertainty; (4) economic models (partial equilibrium or computable general equilibrium) that estimate price and effort responses to trade changes; and (5) causal inference methods (difference-in-differences, synthetic controls, instrumental variables) applied to fisheries or trade separately. Limitations are: weak linkage between trade/economic models and biological MSEs, poor handling of IUU (illegal, unreported, and unregulated) leakage and transshipment, limited validation of data-poor estimators under realistic misreporting, insufficient propagation of uncertainty from data integration into policy metrics, and sparse reproducible pipelines that combine VMS/AIS, customs, and biological data for causal attribution.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develops an integrated, reproducible pipeline that combines Bayesian state-space stock assessment, a trade-driven economic layer, causal inference on trade policy changes, and Management Strategy Evaluation (MSE) to assess how trade agreements affect fishery sustainability. We link time-series catch and survey data, vessel tracking (VMS/AIS), customs trade records, and observer/traceability data to estimate biomass (spawning stock biomass, SSB), fishing mortality, and leakage (unobserved catch). Causal methods (difference-in-differences and synthetic controls) quantify how trade shocks change demand and fleet behavior; those behavioral outputs feed into the biological MSE. Main contributions are: (1) an uncertainty-propagating interface between economic shock estimates and biological projections, (2) explicit leakage parameterization and validation, and (3) negotiator-ready probability metrics (e.g., P(SSB &lt; Blim)). Expected outcomes are testable risk estimates that can inform conditionalities in trade agreements and clear, reproducible tools for policymakers.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historical catch and effort time series per fleet, survey indices (CPUE, trawl/ acoustic), catch-at-age/length where available, VMS/AIS vessel tracks, customs export records by HS code, observer and electronic monitoring records, port landing receipts, SAR/optical satellite detections, and eDNA presence/absence surveys. Baselines: (A) standalone Bayesian surplus-production assessment without economic feedback; (B) CMSY/LBB ensemble for data-poor stocks; (C) economic-only partial equilibrium model estimating price and effort responses; (D) MSE without leakage or transshipment. Proposed model: integrated pipeline combining Bayesian state-space assessments, an economic demand-effort layer (with elasticity draws), causal DiD/synthetic control estimates for trade shocks, and MSE with explicit leakage parameter u(t) and transshipment τ. Evaluation metrics: ecological — P(SSB &lt; Blim), B/BMSY bias and RMSE, F/FMSY bias and RMSE, 95% CI coverage, time-to-recovery distributions, Type I/II decision error rates; economic — expected present value of fleet profits, change in export volumes, estimated price elasticity; detection — false-positive and false-negative rates for leakage detection. Experimental setup: (1) Simulation-estimation OMs: run ensembles (N≥1000) for scenarios: baseline, low-data (10–15 year catch-only), misreporting (0–50% underreporting), tariff shock (+10–50% export demand), and leakage-rich (vary u(t), τ). Propagate uncertainty by sampling priors and causal elasticity draws and running full MSE per draw. (2) Ablation studies: remove leakage module; remove economic feedback; replace Bayesian assessment with CMSY/LBB ensemble; compare performance metrics. (3) Validation: cross-validate causal estimates using staggered policy implementation (DiD) and synthetic controls; compute out-of-sample prediction skill for biomass indices over 5-year horizons. Implementation details: use Stan or TMB for Bayesian fits, containerized CI pipelines, and fixed random seeds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quality and coverage: incomplete catch reporting, missing length/age data, and limited VMS/AIS coverage will reduce identifiability. Leakage identifiability: capture–recapture and anomaly detection may not separate dependent data sources, producing biased u(t) and τ estimates. Structural model uncertainty: different model forms (surplus-production vs age-structured) may give divergent projections; ensemble weighting may not fully capture misspecification. Causal identification: policy timing and confounders may violate DiD or IV assumptions, biasing elasticity estimates. Computation: large MSE ensembles with hierarchical Bayesian fits are computationally heavy and may require simplified fitting (e.g., TMB or fewer chains), affecting ESS and CI accuracy. Generalization: results calibrated to targeted fleets/regions may not generalize to other fisheries with different life histories or governance. Social and legal limits: lack of data-sharing agreements or enforcement capacity may block required inputs. Evaluation biases: observer data are not random and may overstate compliance, biasing performance metrics.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