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modularity_data_credibility</w:t>
      </w:r>
    </w:p>
    <w:p>
      <w:r>
        <w:t xml:space="preserve"> </w:t>
      </w:r>
    </w:p>
    <w:p>
      <w:pPr>
        <w:pStyle w:val="Heading2"/>
      </w:pPr>
      <w:r>
        <w:t>Title</w:t>
      </w:r>
    </w:p>
    <w:p>
      <w:r>
        <w:t>A causal and data-governance framework to quantify modularity effects in modular product families</w:t>
      </w:r>
    </w:p>
    <w:p>
      <w:r>
        <w:t xml:space="preserve"> </w:t>
      </w:r>
    </w:p>
    <w:p>
      <w:pPr>
        <w:pStyle w:val="Heading2"/>
      </w:pPr>
      <w:r>
        <w:t>Short Hypothesis</w:t>
      </w:r>
    </w:p>
    <w:p>
      <w:r>
        <w:t>Standardizing module-level data and applying transaction-level cost allocations together with causal-identification designs will reduce bias and variance in estimated modularity effects on unit cost, lead time, and environmental impact.</w:t>
      </w:r>
    </w:p>
    <w:p>
      <w:r>
        <w:t xml:space="preserve"> </w:t>
      </w:r>
    </w:p>
    <w:p>
      <w:pPr>
        <w:pStyle w:val="Heading2"/>
      </w:pPr>
      <w:r>
        <w:t>Related Work</w:t>
      </w:r>
    </w:p>
    <w:p>
      <w:r>
        <w:t>Prior work shows that modular product design improves engineering flexibility, reuse, and sometimes sustainability, and separate literatures apply lifecycle analysis (LCA), AI-driven decision support, and costing methods to product families. Existing empirical studies typically rely on aggregated ledgers, ad-hoc BOM mappings, or hand-curated case studies that lack transaction-level linkage across PLM/ERP/CAD and therefore suffer from allocation bias and measurement error. Causal-inference applications in operations commonly use difference-in-differences (DiD) and synthetic controls, but these have seen limited integration with industrial accounting practices and LCA. Data-quality and record-linkage research provides deterministic and probabilistic matching methods, yet this has not been systematically applied to modularity metrics. Accounting literature offers activity-based costing and capitalization rules, but they are rarely evaluated as experimental treatments in pilots. Prior methods therefore leave unresolved issues: (1) poor cross-system record linkage; (2) allocation-driven bias in cost signals; (3) measurement-error attenuation in modularity metrics; (4) limited causal identification when interventions are non-random; and (5) privacy obstacles to cross-firm aggregation.</w:t>
      </w:r>
    </w:p>
    <w:p>
      <w:r>
        <w:t xml:space="preserve"> </w:t>
      </w:r>
    </w:p>
    <w:p>
      <w:pPr>
        <w:pStyle w:val="Heading2"/>
      </w:pPr>
      <w:r>
        <w:t>Abstract</w:t>
      </w:r>
    </w:p>
    <w:p>
      <w:r>
        <w:t>Quantifying how modular design choices affect cost, lead time, and environmental outcomes in product families is impeded by poor data linkages, accounting allocation biases, and weak causal identification. We propose an integrated framework combining a minimal canonical data schema, deterministic and probabilistic record-linkage, standardized transaction-level cost exports with parallel allocation views, validated modularity metrics, and causal-identification designs (randomized pilots where feasible, difference-in-differences, synthetic control, and instrumental variables). The main contribution is an end-to-end, reproducible pipeline that: (a) improves data quality for module-level signals; (b) isolates causal effects of modularity under realistic industrial constraints; and (c) links modularity to lifecycle environmental impacts with uncertainty propagation. Expected outcomes include reduced estimator bias and variance, transparent sensitivity to accounting rules, and open artifacts (canonical schemas, ETL scripts, synthetic benchmarks) to enable replication. The framework aims to make modularity effects measurable and actionable for both researchers and practitioners.</w:t>
      </w:r>
    </w:p>
    <w:p>
      <w:r>
        <w:t xml:space="preserve"> </w:t>
      </w:r>
    </w:p>
    <w:p>
      <w:pPr>
        <w:pStyle w:val="Heading2"/>
      </w:pPr>
      <w:r>
        <w:t>Methodology</w:t>
      </w:r>
    </w:p>
    <w:p>
      <w:r>
        <w:t>1) Canonical schema and definitions: lock minimal entity definitions for Module, Interface, Variant, BOMLine, ChangeEvent, CostRecord, and FieldEvent. Define authoritative terms: a "module" is a named, versioned design unit with explicit interfaces in PLM; a "deployment" is an instance where a variant includes a module in a released BOM; an "interface change" is any modification to interface specifications that alters compatibility or connection points. 2) Record linkage: apply deterministic matching on stable IDs where present; otherwise run probabilistic entity-resolution that scores name similarity, part attributes, CAD geometry fingerprints, and author/timestamp heuristics. Use confidence thresholds (e.g., match score &gt;0.95 deterministic; 0.8–0.95 manual review) and produce reconciliation logs. (Entity-resolution: an algorithm to find records that refer to the same real-world object.) 3) Measurement validation: create indicator batteries for latent constructs (architectural, interface, functional modularity) and run confirmatory factor analysis (CFA) to validate measurement structure. Use double-coding (two independent coders) to estimate mapping reliability ρ. 4) Measurement-error correction: when ρ&lt;1 apply regression-calibration or SIMEX (Simulation Extrapolation) to correct attenuation. Explain SIMEX: simulate added noise and extrapolate back to zero-noise estimates. 5) Accounting experiments: produce three parallel cost views per pilot: status-quo allocation, activity-based costing (ABC) with module-linked drivers, and capitalization/amortization by expected reuse counts. Version and containerize allocation code. 6) Causal designs: pre-register estimands and priors; run randomized or cluster-randomized pilots when feasible; otherwise use DiD with matched controls, synthetic control for single-unit changes, and IV where exogenous shocks exist (supplier schedule shocks or regulatory timing). 7) LCA linkage: connect BOM/CAD to module-level lifecycle inventory and compute Environmental Modularity Index (EMI) as a weighted combination of normalized reuse rate, interface stability, and inverse lead time. 8) Uncertainty: propagate input uncertainties via Monte Carlo (≥10,000 draws) to report medians and confidence intervals for costs and EMI. 9) Privacy and cross-firm aggregation: provide SMPC (secure multi-party computation) for exact joint aggregates and DP (differential privacy) for public summaries; publish synthetic datasets and ETL/analysis containers for reproducibility.</w:t>
      </w:r>
    </w:p>
    <w:p>
      <w:r>
        <w:t xml:space="preserve"> </w:t>
      </w:r>
    </w:p>
    <w:p>
      <w:pPr>
        <w:pStyle w:val="Heading2"/>
      </w:pPr>
      <w:r>
        <w:t>Experiments</w:t>
      </w:r>
    </w:p>
    <w:p>
      <w:r>
        <w:t>Datasets: (A) Two to three industrial pilots, each with PLM exports (items, interface specs), CAD snapshots, ERP transaction-level ledgers, BOM snapshots, ECO/change logs, field service/warranty events, and material flow snippets for LCA; each pilot should supply ≥200 module-period observations. (B) A synthetic benchmark dataset with known ground-truth modularity signals and injected noise/mapping errors for validation. Baselines: (1) status-quo aggregated ledger linkage (typical practice), (2) deterministic-only matching without probabilistic resolution, (3) no measurement-error correction, (4) single allocation view (firm’s current allocation). Evaluation metrics: estimator bias (difference between estimated causal effect and benchmark or randomized-arm truth), estimator variance, CI coverage probability, MAPE for lead-time and cost forecasts, reconciliation coverage (%) for part→module mapping, mapping precision/recall, EMI uncertainty width (90% CI), and computational cost (wall time, memory). Experimental setup: pre-register hypotheses and estimands; run three-arm accounting experiment where feasible with cluster randomization at family/BU level; when randomization not feasible run DiD and synthetic-control analyses. Sample sizes: pilot targets 200–400 module-period observations; run simulation-based power analysis including ICCs (intra-cluster correlation) and measurement-error (use observed ρ values) to confirm power. Specific comparisons/ablations: A) Ablation 1: compare probabilistic+deterministic linkage vs deterministic-only on estimator bias and mapping F1. B) Ablation 2: compare regression-calibration/SIMEX correction vs no correction on attenuation and CI coverage. C) Accounting comparison: compute causal estimates under each allocation view (status-quo, ABC, amortized) and measure change in estimated modularity effects. D) Privacy utility: measure DP noise impact on aggregate estimates for ε in {1,2,3} and report utility diagnostics (KS distance vs non-private aggregate, downstream model accuracy). Statistical procedures: use mixed-effects models with random intercepts for module and firm, estimate via REML, cluster-robust standard errors, bootstrap for CIs (1,000 resamples), and IV diagnostics (first-stage F&gt;10, Hansen’s J). Monte Carlo: run ≥10,000 draws for uncertainty propagation and simulation power curves.</w:t>
      </w:r>
    </w:p>
    <w:p>
      <w:r>
        <w:t xml:space="preserve"> </w:t>
      </w:r>
    </w:p>
    <w:p>
      <w:pPr>
        <w:pStyle w:val="Heading2"/>
      </w:pPr>
      <w:r>
        <w:t>Risk Factors And Limitations</w:t>
      </w:r>
    </w:p>
    <w:p>
      <w:r>
        <w:t>1) Data access and legal constraints: firms may restrict transaction-level ledgers or CAD exports, preventing complete linkage. 2) Low mapping reliability: if record-linkage reliability ρ is very low (&lt;0.6), measurement-error correction may be insufficient and sample-size inflation may be infeasible. 3) Small sample sizes: some product families may not yield the 200–400 module-period observations needed to detect medium effects. 4) Non-random interventions and spillovers: treatment contamination across teams or shared modules can bias causal estimates. 5) Instrument validity: plausible IVs (supplier shocks, regulation timing) may violate exclusion restrictions and produce invalid estimates. (Exclusion restriction: instrument affects outcome only through the treatment.) 6) Accounting complexity: allocation rules and amortization have tax, reporting, or GAAP/IFRS implications that constrain experimental manipulation. 7) Computational costs: SMPC protocols can be slow and costly for large ledgers; DP noise may reduce utility for small aggregates. 8) LCA data gaps: missing end-of-life or recycling data limit cradle-to-grave analysis and increase uncertainty. 9) Generalizability: pilots in selected industries may not transfer to all product types or supply-chain structures. 10) Model misspecification: hierarchical models or measurement-error corrections may not capture all heterogeneity, leading to biased inference.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