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shrinkflation_japan_cpi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Detecting and quantifying shrinkflation in Japan using scanner data, hedonic regression, and validation audits to estimate CPI measurement bias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Persistent net-content reductions of at least 1.5% combined with non-decreasing unit prices cause a positive bias in official CPI estimates compared with unit-price or hedonic-adjusted counterfactual indices.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measuring shrinkflation use unit-price indices (price per standard unit), hedonic adjustments (statistical controls for observable product attributes), scanner and POS panel analyses, and occasional manual audits or consumer surveys. Machine-vision and OCR methods have been proposed to extract net-content from packaging images. Behavioral studies examine consumer detection and substitution. Limitations remain: many studies lack canonical rules for multi-packs and variable-density items; UPC lineage and package reformulations are poorly handled; scanner panels can be unrepresentative; causal identification of firm strategy (endogeneity) is weak without instruments or event designs; automated extraction methods suffer from misclassification without large labeled audits; and cultural response patterns are under-integrated. Measurement uncertainty from algorithmic errors is rarely propagated into CPI counterfactuals, reducing reliability for policy use.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Shrinkflation—reducing product net content while maintaining price—poses a hidden inflation channel that may bias official consumer price indices (CPI). This project develops a reproducible pipeline for Japan that detects shrinkflation events in item-level scanner and retailer data, validates detections with manual audits and packaging images, and quantifies the bias in CPI measurement using unit-price and hedonic counterfactual indices. The approach standardizes canonical unit rules (grams/ml vs. pack, multi-pack apportionment, UPC lineage), implements a threshold-plus-ML detector for net-content changes, and estimates contribution to inflation using hedonic regressions and complementary identification (instrumental variables and event-study). Main contributions are: (1) an operational detection rule with audited performance metrics (precision/recall/F1), (2) counterfactual CPI variants that incorporate uncertainty from misclassification, and (3) empirical estimates of shrinkflation incidence, magnitude, and CPI bias in Japan. Expected outcome is a validated, policy-relevant assessment of how shrinkflation affects inflation measurement and consumer welfare.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collection: acquire item-level scanner/POS data (prices, UPC, promotion flags, store), retailer product metadata (net content, units per pack), packaging images, and household expenditure survey for weighting. 2) Canonical units: define canonical unit as grams for solids and milliliters for liquids; for multi-packs divide net content by pack count to get per-unit content; record pack-level and unit-level UPC lineage (mapping old UPCs to new when reformulated). 3) Preprocessing: align time series by UPC lineage, normalize unit measures to per-100g or per-100ml, mark promoted transactions. 4) Detection algorithm: rule-based flag where net-content drop &gt;= 1.5% and unit price (price per 100g/ml) is non-decreasing relative to prior period; require persistence across k consecutive observations (k=2). 5) ML augmentation: build computer-vision + OCR model (CV=model that reads images to find numeric net-content; OCR=optical character recognition, which extracts text/numbers). Train on labeled images to detect packaging-change dates and extract net-content; combine with scanner flags to form ensemble detector. 6) Validation: run manual audits (photos and human checks) on stratified sample to measure precision, recall, and F1. 7) Measurement models: compute three indices: official CPI replication, unit-price index (price per standard unit aggregated with expenditure weights), and hedonic-adjusted index using regressions where log(unit_price) = alpha + beta log(net_content) + gamma X + fixed effects + epsilon (hedonic regression controls for brand, packaging, promotions; fixed effects absorb unobserved constant traits). 8) Identification: estimate causal links from input-cost shocks to shrinkflation using product-level exposure interacted with commodity and exchange-rate shocks (instrumental variables) and event-study on documented packaging announcements. 9) Uncertainty: model detector misclassification (sensitivity/specificity) and propagate into CPI counterfactuals using bootstrap or simple deconvolution adjustments (treat observed flags as noisy measurements and correct inflation contributions accordingly).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Scanner/POS panel with UPC, transaction price, promotion flags, store ID, and timestamp (e.g., INTAGE/Nielsen-equivalent), covering 24 months; (B) packaging-image corpus with &gt;=10,000 labeled images and net-content labels; (C) household expenditure survey for weights and representativeness checks; (D) manual audit dataset (stratified N=800–1,200 UPCs). Baselines: (1) official CPI replication (no shrinkage flag), (2) simple unit-price index without hedonic correction, (3) threshold-only detector (rule without ML), (4) ML-only detector (no rule). Evaluation metrics: detection precision, recall, F1; incidence rate (%) by category; mean percent content change; contribution of shrinkflation to annual inflation (percentage points); 95% confidence interval width for detection probability; first-stage F-statistic for IV (&gt;10). Setup: split image data into train/val/test (70/15/15); train CV+OCR ensemble on training set; tune detector thresholds on validation set targeting F1&gt;=0.80; report test-set metrics. For economic estimates, compute indices monthly: official, unit-price, hedonic-adjusted; report annualized inflation differences. Identification: run IV regressions of shrink_flag on commodity*exposure instrument, then shrink_flag on inflation outcomes; report first-stage strength and over-identification tests. Ablation studies: (A) remove hedonic adjustment to compare inflation bias estimates; (B) replace ensemble detector with threshold-only rule to assess ML value; (C) exclude misclassification correction to quantify bias from detector errors. Reproducibility: provide code, parameter seeds, and fixed train/test splits.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access delays or incomplete metadata (missing net-content time series or UPC lineage) will limit detection and timing accuracy. 2) Scanner panel selection bias: panels may not represent national spending patterns, affecting extrapolation to CPI weights. 3) ML extraction errors: OCR and vision models may misread small or stylized net-content labels, causing misclassification. 4) Misclassification bias: false positives/negatives in detection will bias inflation contribution estimates if not accurately modeled. 5) Endogeneity and weak instruments: product exposure measures may be imperfect, producing weak IV first stages or invalid inference. 6) Multi-pack and variable-density complexities: apportioning content for irregular items (e.g., soups with variable fill) can introduce measurement error. 7) Generalizability: results for Japan may not transfer to other CPI systems with different item substitution rules. 8) Compute and labeling cost: training high-accuracy ML models and labeling images requires substantial compute and human annotation budgets. 9) Legal and privacy constraints: retailer contracts or IRB limits may restrict image capture or data linking and reduce sample size. 10) Interpretation limits: distinguishing true shrinkflation from reformulation (quality change) or bundling requires additional product-ingredient data often unavailable.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