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age_household_inequality_cee</w:t>
      </w:r>
    </w:p>
    <w:p>
      <w:r>
        <w:t xml:space="preserve"> </w:t>
      </w:r>
    </w:p>
    <w:p>
      <w:pPr>
        <w:pStyle w:val="Heading2"/>
      </w:pPr>
      <w:r>
        <w:t>Title</w:t>
      </w:r>
    </w:p>
    <w:p>
      <w:r>
        <w:t>Bayesian hierarchical age-period-cohort and Shapley decomposition of income inequality by age and household type in Central and Eastern Europe</w:t>
      </w:r>
    </w:p>
    <w:p>
      <w:r>
        <w:t xml:space="preserve"> </w:t>
      </w:r>
    </w:p>
    <w:p>
      <w:pPr>
        <w:pStyle w:val="Heading2"/>
      </w:pPr>
      <w:r>
        <w:t>Short Hypothesis</w:t>
      </w:r>
    </w:p>
    <w:p>
      <w:r>
        <w:t>Higher demographic aging, measured as a larger share of elderly-headed and multigenerational households, causes an increase in household-level disposable income inequality in Central and Eastern European countries between 2005 and 2022, and this causal effect is larger in liberal-leaning post-socialist states than in corporatist-leaning states.</w:t>
      </w:r>
    </w:p>
    <w:p>
      <w:r>
        <w:t xml:space="preserve"> </w:t>
      </w:r>
    </w:p>
    <w:p>
      <w:pPr>
        <w:pStyle w:val="Heading2"/>
      </w:pPr>
      <w:r>
        <w:t>Related Work</w:t>
      </w:r>
    </w:p>
    <w:p>
      <w:r>
        <w:t>Existing work links population aging and income inequality and uses survey microdata like EU-SILC to describe age gradients in income. Common methods include simple cross-sectional Gini or Theil comparisons, Oaxaca–Blinder decompositions for mean changes, and age-period-cohort (APC) regressions to separate age, period, and cohort patterns. Shapley value decompositions have been used to apportion overall inequality change to compositional versus within-group effects, but prior studies rarely combine APC uncertainty with Shapley decompositions. Causal work on household composition often relies on difference-in-differences around policy changes or simple IVs, but faces weak instrument and harmonization problems. Limitations in current approaches are: inconsistent harmonization across waves and countries, inadequate treatment of pension imputation and housing costs, failure to propagate model uncertainty from APC estimates into decompositions, limited household-type granularity (especially multigenerational vs elderly-headed), and weak or untested identification strategies for causal claims.</w:t>
      </w:r>
    </w:p>
    <w:p>
      <w:r>
        <w:t xml:space="preserve"> </w:t>
      </w:r>
    </w:p>
    <w:p>
      <w:pPr>
        <w:pStyle w:val="Heading2"/>
      </w:pPr>
      <w:r>
        <w:t>Abstract</w:t>
      </w:r>
    </w:p>
    <w:p>
      <w:r>
        <w:t>This study examines how demographic aging affects income inequality across age groups and household types in Central and Eastern Europe (CEE) from 2005 to 2022. We integrate harmonized EU-SILC microdata with external demographic series and apply a Bayesian hierarchical age-period-cohort (APC) model with smooth priors to estimate age, period, and cohort effects on equivalized disposable income. We then propagate APC posterior uncertainty into Shapley value decompositions that apportion observed inequality change to shifts in age structure, household-type composition, and within-group dispersion. For causal interpretation of household-type transitions we combine inverse-probability weighting with a catalog of policy shocks (pension reforms and retirement-age changes) as candidate instruments and report bounds when instruments are weak. Framing results through a neo-familial lens, we compare liberal versus corporatist post-socialist welfare typologies. The main contributions are an uncertainty-aware decomposition pipeline, a harmonized cross-country protocol, and transparent causal identification limits. Expected outcomes are clearer estimates of how aging and household composition jointly drive inequality and which welfare contexts amplify these effects.</w:t>
      </w:r>
    </w:p>
    <w:p>
      <w:r>
        <w:t xml:space="preserve"> </w:t>
      </w:r>
    </w:p>
    <w:p>
      <w:pPr>
        <w:pStyle w:val="Heading2"/>
      </w:pPr>
      <w:r>
        <w:t>Methodology</w:t>
      </w:r>
    </w:p>
    <w:p>
      <w:r>
        <w:t>1) Data harmonization: assemble EU-SILC microdata for 2005–2022 and a per-country variable crosswalk. Harmonize income (equivalized disposable income using OECD-modified scale), pensions (include imputed pensions where recorded), in-kind items where monetized, and housing-cost adjustments. Convert to constant 2022 euros and PPP-adjusted series. 2) Household-type coding: implement fixed roster rules to label households as elderly-headed single, elderly-headed couple, multigenerational with elderly present, non-elder households, and single-parent households. Record collapse rules for sparse cells. 3) Missing data and tails: impute item nonresponse with MICE (predictive mean matching within country×year strata). Adjust top incomes using a generalized Pareto distribution (GPD) for exceedances above the 95th percentile; provide winsorized alternatives. 4) APC modeling: fit a Bayesian hierarchical APC model with RW2 (random-walk-2) priors for smooth age and cohort effects and country-year period effects. RW2 prior means smoothing across adjacent ages/cohorts; enforce sum-to-zero constraints to aid identifiability. Include country random effects and interaction terms for welfare-typology. 5) Uncertainty propagation: draw many posterior samples from the APC model and for each draw compute counterfactual age×household-type income distributions. 6) Decomposition: apply Shapley value decomposition to apportion 2005→2022 inequality change (Gini, Theil) into contributions from age-structure, household-type composition, and within-group changes. Shapley gives a fair allocation of total change to contributors. 7) Causal-ID: estimate inverse-probability weights for household-type transitions; compile policy shock timelines as candidate instruments (pension reforms, retirement-age changes); run IV and bounding analyses and report first-stage strength. 8) Rules and thresholds: require minimum n=30 per age×household-type×country cell for descriptive outputs; collapse or pool cells per predefined rules. 9) Reproducibility: versioned code, harmonization log, and pipeline with unit tests.</w:t>
      </w:r>
    </w:p>
    <w:p>
      <w:r>
        <w:t xml:space="preserve"> </w:t>
      </w:r>
    </w:p>
    <w:p>
      <w:pPr>
        <w:pStyle w:val="Heading2"/>
      </w:pPr>
      <w:r>
        <w:t>Experiments</w:t>
      </w:r>
    </w:p>
    <w:p>
      <w:r>
        <w:t>Datasets: EU-SILC microdata (2005–2022) for core countries: Estonia, Latvia, Lithuania, Poland, Czechia, Slovakia, Slovenia, Hungary, Romania, Bulgaria, optional Croatia; national population series (UN/EU/Eurostat); compiled policy reform timelines. Baselines: (A) simple descriptive Gini changes between 2005 and 2022; (B) Oaxaca–Blinder mean decomposition; (C) Shapley decomposition on raw data without APC uncertainty propagation; (D) APC using intrinsic estimator instead of Bayesian RW2. Primary metrics: Gini coefficient, Theil index, Atkinson index (ε=0.5 and 1.0), percent contribution of age-structure and household-type to total inequality change, 95% bootstrap/credible intervals, first-stage F-statistic for instruments, coverage of posterior-based intervals. Experimental setup: 1) Run the Bayesian hierarchical APC on harmonized income for each country and pooled typologies; draw 1000 posterior samples. 2) For each posterior draw compute Shapley decomposition of 2005→2022 Gini change; report median and 95% interval for contributions. 3) Compare primary pipeline to baselines A–D (ablation study 1: remove APC uncertainty propagation; ablation study 2: replace RW2 with intrinsic estimator; ablation study 3: omit household-type stratification). 4) Causal tests: estimate IPW models for household-type transitions and run IV regressions using selected policy shocks; report first-stage F&gt;10, AR/LIML robustness tests, and Lee bounds when applicable. 5) Sensitivity analyses: repeat experiments with alternative equivalence scales (square-root), alternative top-income thresholds (97.5th, 99th), and alternative typology assignment (median-split vs k-means). 6) Pre-registered cell rule: exclude or collapse cells with n&lt;30 for primary estimates and run pooled/partial-pooling variants when aggregation occurs.</w:t>
      </w:r>
    </w:p>
    <w:p>
      <w:r>
        <w:t xml:space="preserve"> </w:t>
      </w:r>
    </w:p>
    <w:p>
      <w:pPr>
        <w:pStyle w:val="Heading2"/>
      </w:pPr>
      <w:r>
        <w:t>Risk Factors And Limitations</w:t>
      </w:r>
    </w:p>
    <w:p>
      <w:r>
        <w:t>1) Data harmonization risk: EU-SILC variable differences and pension imputation rules across countries may introduce non-comparable income measures. 2) Sample size limits: small age×household-type×country cells will force aggregation, reducing granularity and possibly biasing decomposition results. 3) Measurement error: neo-familial proxies (coresidence, caregiver indicators) are imperfect and may bias estimated links between household type and income. 4) APC identification: age-period-cohort separation is inherently weak; results depend on priors and identifiability constraints. 5) Weak instruments: pension reforms or retirement-age changes may be weak or heterogeneous, limiting causal claims. 6) Tail sensitivity: top-income treatments (GPD thresholds) can materially affect inequality measures. 7) Computational cost: propagating O(1000) APC posterior draws through Shapley decompositions is compute-intensive and may require parallel resources. 8) External validity: findings apply to selected CEE countries and 2005–2022 period and may not generalize beyond this region or time. 9) Institutionalized populations and non-response: exclusion or inconsistent treatment may bias age-group inequality patterns.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