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organic_innovations_survey_dce</w:t>
      </w:r>
    </w:p>
    <w:p>
      <w:r>
        <w:t xml:space="preserve"> </w:t>
      </w:r>
    </w:p>
    <w:p>
      <w:pPr>
        <w:pStyle w:val="Heading2"/>
      </w:pPr>
      <w:r>
        <w:t>Title</w:t>
      </w:r>
    </w:p>
    <w:p>
      <w:r>
        <w:t>Discrete choice experiment and longitudinal survey evaluation of stakeholder acceptance and adoption of innovations and strategies for organic farming in Germany</w:t>
      </w:r>
    </w:p>
    <w:p>
      <w:r>
        <w:t xml:space="preserve"> </w:t>
      </w:r>
    </w:p>
    <w:p>
      <w:pPr>
        <w:pStyle w:val="Heading2"/>
      </w:pPr>
      <w:r>
        <w:t>Short Hypothesis</w:t>
      </w:r>
    </w:p>
    <w:p>
      <w:r>
        <w:t>Higher baseline acceptance and perceived feasibility and lower perceived perceived risk of a given innovation cause a higher probability of sustained adoption and greater implementation fidelity at 6- and 18-month follow-ups.</w:t>
      </w:r>
    </w:p>
    <w:p>
      <w:r>
        <w:t xml:space="preserve"> </w:t>
      </w:r>
    </w:p>
    <w:p>
      <w:pPr>
        <w:pStyle w:val="Heading2"/>
      </w:pPr>
      <w:r>
        <w:t>Related Work</w:t>
      </w:r>
    </w:p>
    <w:p>
      <w:r>
        <w:t>Existing work has used surveys and discrete choice experiments (DCEs) at organic field days to measure stakeholder preferences for innovations, often applying stratified sampling and Bayesian or mixed-logit models to estimate utilities and heterogeneity. Prior studies show institutional trust strongly affects value estimates and willingness to pay, with farmers generally reporting higher trust and values. Limitations include potential field-day sampling bias (attendees differ from the population), limited non-attendee comparison groups, sparse objective validation of self-reports, variable pretesting and social-desirability controls, incomplete reporting of minimum detectable effects (MDEs) and power, and few longitudinal measures of actual adoption and implementation fidelity. Many analyses rely on cross-sectional stated preferences alone and lack integrated qualitative follow-up to explain heterogeneity.</w:t>
      </w:r>
    </w:p>
    <w:p>
      <w:r>
        <w:t xml:space="preserve"> </w:t>
      </w:r>
    </w:p>
    <w:p>
      <w:pPr>
        <w:pStyle w:val="Heading2"/>
      </w:pPr>
      <w:r>
        <w:t>Abstract</w:t>
      </w:r>
    </w:p>
    <w:p>
      <w:r>
        <w:t>This study evaluates stakeholder acceptance, perceived development potential, and real-world adoption of innovations and strategies for organic farming by combining a discrete choice experiment (DCE) with a stratified baseline survey, non-attendee comparator cohort, objective farm-level validation pilots, and qualitative follow-ups. We collect a baseline sample around 800 respondents stratified by stakeholder type, region and farm size, deploy a 6-attribute DCE to elicit trade-offs, pretest instruments, and recontact participants at 6 and 18 months to measure sustained adoption and implementation fidelity. Objective pilots on 40–60 farms will collect soil, biodiversity and remote-sensing proxies to validate self-reports. Quantitative analysis uses mixed-logit DCE estimation, latent-class segmentation, and longitudinal adoption models; qualitative interviews explain decision heuristics. The main contribution is an integrated, reproducible evaluation linking stated preferences, revealed behavior, and objective indicators to identify which innovations are acceptable, which have highest development potential, and which conditions predict sustained uptake. Outcomes will inform prioritization and adaptation needs for organic farming research and policy.</w:t>
      </w:r>
    </w:p>
    <w:p>
      <w:r>
        <w:t xml:space="preserve"> </w:t>
      </w:r>
    </w:p>
    <w:p>
      <w:pPr>
        <w:pStyle w:val="Heading2"/>
      </w:pPr>
      <w:r>
        <w:t>Methodology</w:t>
      </w:r>
    </w:p>
    <w:p>
      <w:r>
        <w:t>1) Sampling and recruitment: recruit baseline n≈800 participants at organic field days and via web/extension to achieve stratification by stakeholder type (farmer, processor, retailer, consumer), region (German states), and farm-size; recruit a non-attendee comparison cohort n≈200–300 from registries. 2) Instrument design: develop a questionnaire in German (with back-translation) including 5-point Likert scales for acceptance, feasibility, risk and development potential, short vignettes, and one DCE with six attributes (yield effect, production cost, labor requirement, knowledge/training, certification compatibility, biodiversity benefit). 3) Pretesting: run 12–15 cognitive interviews (talk-aloud) and a pilot n=50–100 to check timing (target ≤20 minutes), comprehension and revise priors. 4) DCE design: generate a Bayesian D-efficient blocked design (4 blocks) with 6 choice tasks per block, two alternatives plus opt-out; use effects coding for categorical attributes and weakly informative priors updated from pilot. (Effects coding: a way to represent categories so coefficients sum to zero.) 5) Fielding and modes: mixed-mode collection (on-site tablets/paper, QR/web, phone) with consent for 6- and 18-month follow-ups; collect hashed pseudonymous IDs for linkage. 6) Objective validation: select 40–60 consenting farms for soil proxies (soil organic carbon, pH, soil respiration or extractable nitrogen), biodiversity proxies (flowering richness, pollinator counts), and Sentinel-2 NDVI time series (NDVI: a satellite vegetation index) at baseline and seasonal points where feasible. 7) Follow-ups and validation: at 6 and 18 months re-survey for reported adoption and capture photo/GPS evidence when possible. 8) Analysis: estimate mixed-logit models (a model that allows preference variation across people) for DCE utilities, run latent-class segmentation to identify groups, and fit longitudinal models (logistic or survival-type panel models) for adoption; use IPW (inverse-probability weighting) and multiple imputation for missing data; preregister models and MDE assumptions. 9) Qualitative linkage: purposive interviews and focus groups (24–40 interviews, 6–8 groups) mapped to latent classes to explain motives and barriers.</w:t>
      </w:r>
    </w:p>
    <w:p>
      <w:r>
        <w:t xml:space="preserve"> </w:t>
      </w:r>
    </w:p>
    <w:p>
      <w:pPr>
        <w:pStyle w:val="Heading2"/>
      </w:pPr>
      <w:r>
        <w:t>Experiments</w:t>
      </w:r>
    </w:p>
    <w:p>
      <w:r>
        <w:t>Datasets: (A) Baseline survey: target n=800 stratified sample with respondent-level DCE blocks; (B) Non-attendee comparator: n=200–300 recruited via registries; (C) Pilot validation farms: 40–60 farms with soil, biodiversity and NDVI measures; (D) Follow-ups: same respondents at 6 and 18 months. Baselines for comparison: (1) full DCE + scales; (2) acceptance-scales-only (no DCE); (3) reduced-attribute DCE (4 attributes) to test attribute number. Evaluation metrics: DCE utility standard errors and confidence intervals; predictive accuracy for adoption (AUC, ROC); latent-class recovery stability (bootstrap consistency); CFA fit indices for scale validity (CFI, TLI, RMSEA); reliability (Cronbach's alpha, McDonald's omega); agreement between self-report and objective measures (sensitivity, specificity, kappa); MDE tables for main contrasts; attrition diagnostics and effective sample sizes. Experimental setup: 1) Pretest phase: conduct 12–15 cognitive interviews and pilot n=50–100; analyze timing and comprehension, update DCE priors; 2) Baseline field collection: randomize respondents to one DCE block; collect acceptance scales and covariates; 3) Ablation study A: compare predictive power for 6-month adoption between model A (DCE utilities + scales) and model B (scales only) using nested logistic regression and compare AUC and likelihood ratio test; 4) Ablation study B: compare full 6-attribute DCE to reduced 4-attribute DCE on utility precision (standard errors) and model fit (AIC/BIC); 5) Validation analysis: compute correlation and classification metrics between fidelity index (self-report + photo/GPS scoring) and objective indicators (NDVI change, SOC change), report sensitivity/specificity; 6) Longitudinal analysis: estimate mixed-effects logistic regression for adoption at 6 and 18 months with baseline predictors (acceptance, feasibility, risk, DCE-class membership), report odds ratios and 95% CI; test latent-transition models for class movement. Baseline models and ablations must be pre-registered. Reproducible code and data processing scripts must be provided.</w:t>
      </w:r>
    </w:p>
    <w:p>
      <w:r>
        <w:t xml:space="preserve"> </w:t>
      </w:r>
    </w:p>
    <w:p>
      <w:pPr>
        <w:pStyle w:val="Heading2"/>
      </w:pPr>
      <w:r>
        <w:t>Risk Factors And Limitations</w:t>
      </w:r>
    </w:p>
    <w:p>
      <w:r>
        <w:t>1) Sampling bias: field-day attendees may not represent the wider stakeholder population; non-attendee cohort may insufficiently correct bias. 2) Social desirability and measurement error: respondents may over-report acceptance or adoption. 3) Attrition: follow-up loss (20–40%) may reduce power and bias longitudinal estimates. 4) Validation sample size: 40–60 farms may be too small to generalize objective validation results. 5) Environmental data limits: NDVI measurements can be affected by cloud cover and seasonal noise, limiting signal. 6) Model misspecification: mixed-logit or latent-class choices may not capture true preference heterogeneity; selection of classes may be unstable. 7) Translation and invariance: German↔English wording differences may cause measurement non-invariance across language or stakeholder groups. 8) Resource and timeline constraints: laboratory analyses, travel and coordination for validation pilots may exceed budget or schedule. 9) Privacy and GDPR constraints: photo, GPS and farm-level data raise legal and consent limitations that may restrict linkage. 10) Limited external validity: findings will be specific to German organic field-day contexts and may not generalize to other countries or conventional farming systems.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