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e_waste_dismantling_daily_cf</w:t>
      </w:r>
    </w:p>
    <w:p>
      <w:r>
        <w:t xml:space="preserve"> </w:t>
      </w:r>
    </w:p>
    <w:p>
      <w:pPr>
        <w:pStyle w:val="Heading2"/>
      </w:pPr>
      <w:r>
        <w:t>Title</w:t>
      </w:r>
    </w:p>
    <w:p>
      <w:r>
        <w:t>Field-based daily-resolution carbon footprint accounting method for China’s e-waste dismantling process using metered electricity and dismantling-volume linkage</w:t>
      </w:r>
    </w:p>
    <w:p>
      <w:r>
        <w:t xml:space="preserve"> </w:t>
      </w:r>
    </w:p>
    <w:p>
      <w:pPr>
        <w:pStyle w:val="Heading2"/>
      </w:pPr>
      <w:r>
        <w:t>Short Hypothesis</w:t>
      </w:r>
    </w:p>
    <w:p>
      <w:r>
        <w:t>Directly linking facility-level daily electricity consumption to daily dismantling volumes and applying hourly province-level emission factors produces per-unit (per-device) carbon footprint estimates with significantly lower uncertainty (narrower 95% confidence intervals) than estimates derived from monthly or regional-average electricity factors.</w:t>
      </w:r>
    </w:p>
    <w:p>
      <w:r>
        <w:t xml:space="preserve"> </w:t>
      </w:r>
    </w:p>
    <w:p>
      <w:pPr>
        <w:pStyle w:val="Heading2"/>
      </w:pPr>
      <w:r>
        <w:t>Related Work</w:t>
      </w:r>
    </w:p>
    <w:p>
      <w:r>
        <w:t>Existing approaches to e-waste carbon accounting fall into two groups: top-down inventories that apply regional or national average emission factors to aggregate activity data, and facility-level life-cycle studies that use spot measurements or engineering estimates. Recent advances use sub-metering and non-intrusive load monitoring (NILM) to infer equipment-level usage, but these are rarely combined with matched daily dismantling throughput. Limitations of current methods include coarse temporal alignment (monthly or annual), lack of representative field metering especially in informal facilities, weak provenance for emission-factor temporal granularity, limited uncertainty quantification, and insufficient methods for extrapolating site-level results to regional or national estimates. Disaggregation studies often report classification metrics but not kWh attribution bias or how errors scale with overlapping loads and activity intensity. Methods for gap-filling, meter redundancy, and formalized extrapolation weighting are underdeveloped for this domain.</w:t>
      </w:r>
    </w:p>
    <w:p>
      <w:r>
        <w:t xml:space="preserve"> </w:t>
      </w:r>
    </w:p>
    <w:p>
      <w:pPr>
        <w:pStyle w:val="Heading2"/>
      </w:pPr>
      <w:r>
        <w:t>Abstract</w:t>
      </w:r>
    </w:p>
    <w:p>
      <w:r>
        <w:t>We present a field-based method to produce daily-resolution carbon footprints for e-waste dismantling in China by tightly linking facility electricity consumption to matched daily dismantling volumes across five device categories. The approach deploys revenue-grade metering, standardized commissioning, and calibrated disaggregation to attribute electricity to dismantling tasks; it then multiplies attributed energy by hourly, province-level emission factors to produce daily emissions. Main contributions are: (1) a reproducible protocol for paired metering and dismantling logs that captures informal and formal facilities; (2) a hybrid disaggregation pipeline combining calibrated signature libraries with supervised NILM models and holdout validation; and (3) a transparent uncertainty and extrapolation framework using Monte Carlo simulation and post-stratification weights to scale to national estimates. Expected outcomes include per-device daily carbon inventories with quantified uncertainty, validated disaggregation performance metrics (energy bias, confusion matrices, CI widths), and policy-ready templates that improve temporal accuracy and traceability over coarse-factor approaches.</w:t>
      </w:r>
    </w:p>
    <w:p>
      <w:r>
        <w:t xml:space="preserve"> </w:t>
      </w:r>
    </w:p>
    <w:p>
      <w:pPr>
        <w:pStyle w:val="Heading2"/>
      </w:pPr>
      <w:r>
        <w:t>Methodology</w:t>
      </w:r>
    </w:p>
    <w:p>
      <w:r>
        <w:t>1) Site selection: use stratified multistage sampling to choose 3–5 pilot sites covering diverse provinces, grid regions, urban/rural settings, facility scales, and formal/informal status. Document a site-scoring rubric and collect candidate metadata. 2) Metering and commissioning: install revenue-grade Class 1 mains and sub-meters (±0.5%) with correct CT placement (CT = current transformer, a device that measures current), GPS-synced clocks, tamper detection, and redundant loggers. Record commissioning checklist and CT ratios. 3) Activity logging: record daily dismantling volumes by category with standardized templates and event tags (start/stop of tasks). 4) Calibration runs: schedule short runs where known tasks and loads are recorded to build a signature library (signature = characteristic power/time pattern for a task). 5) Disaggregation pipeline: implement a hybrid approach—use the signature library for frequent, labeled tasks and supervised NILM (non-intrusive load monitoring; a technique to infer device-level loads from aggregate signals) models (Random Forest, XGBoost, CNN, HMM) for residuals. Train on calibration data, reserve 10–20% holdout days for validation. 6) Emission factors: assemble hourly province-level generation- or consumption-basis EFs from authoritative sources and convert to a common consumption basis including explicit T&amp;D (transmission and distribution) losses. 7) Emission calculation: align timestamps (UTC), multiply attributed kWh by hourly EF to get daily CO2e per category and per device. 8) Uncertainty and extrapolation: run Monte Carlo (≥10,000 iterations) including meter accuracy, disaggregation error (empirical distribution), and EF uncertainty; derive post-stratification weights to scale site results to national estimates. 9) Data governance: apply PIPL-compliant consent, anonymize facility IDs, and store versioned datasets and containerized analysis notebooks. 10) Deliverables: calibrated signature library, disaggregation metrics (confusion matrices, kWh bias), EF provenance table, and weighted national estimate with uncertainty bounds.</w:t>
      </w:r>
    </w:p>
    <w:p>
      <w:r>
        <w:t xml:space="preserve"> </w:t>
      </w:r>
    </w:p>
    <w:p>
      <w:pPr>
        <w:pStyle w:val="Heading2"/>
      </w:pPr>
      <w:r>
        <w:t>Experiments</w:t>
      </w:r>
    </w:p>
    <w:p>
      <w:r>
        <w:t>Datasets: (a) Pilot meter time-series: mains and sub-meter readings at ≥1 Hz (and 100–1000 Hz for calibration) for 3–5 sites over ≥3 months each; (b) Daily dismantling logs: per-category counts/weights and event tags; (c) Hourly province-level emission-factor time-series. Baselines: (1) regional-average EF applied to monthly aggregate energy per device (coarse baseline), (2) facility-level daily energy without disaggregation (aggregate baseline), (3) signature-only disaggregation, (4) supervised-NILM-only disaggregation. Metrics: per-category precision, recall, F1; kWh attribution error (bias and RMSE); daily energy-balance discrepancy (%) = |sum(category kWh) - site total kWh|/site total; per-unit CO2e 95% CI width; Monte Carlo-derived national estimate CI; extrapolation bias and variance after post-stratification. Experimental setup: reserve 10–20% holdout days stratified by season and weekday/weekend. Train disaggregation models on calibration runs and remaining days. Run Monte Carlo with 10,000 iterations using reproducible seed. Ablation studies: A1) disaggregation method comparison (hybrid vs signature-only vs NILM-only); A2) EF temporal resolution (hourly vs daily vs provincial average); A3) sample-size sensitivity (simulate scaling with 3, 4, 5 pilot sites via resampling and recompute national CI widths). Validation: compare disaggregation outputs to sub-metered ground truth where available or to portable spot measurements (for at least 10% of days). Acceptance thresholds: category attribution error ≤10% during calibration windows and daily energy-balance discrepancy ≤5% for data to be used in national extrapolation.</w:t>
      </w:r>
    </w:p>
    <w:p>
      <w:r>
        <w:t xml:space="preserve"> </w:t>
      </w:r>
    </w:p>
    <w:p>
      <w:pPr>
        <w:pStyle w:val="Heading2"/>
      </w:pPr>
      <w:r>
        <w:t>Risk Factors And Limitations</w:t>
      </w:r>
    </w:p>
    <w:p>
      <w:r>
        <w:t>Technical failure modes: meter hardware failure, CT mis-installation, clock drift, and data loss from logger or transport failures. Disaggregation limits: overlapping continuous loads and idling equipment reduce NILM accuracy; signatures may not generalize across facilities. Data biases: pilot sites may not represent all operational modes (informal sector heterogeneity), causing extrapolation bias. Missing data: long gaps or systematic missingness will inflate uncertainty and can invalidate daily linkage. Scalability: high-frequency data storage and processing needs increase with more sites; high sample rates (100–1000 Hz) require substantial compute and storage. EF limitations: provincial hourly EFs may be unavailable or have high uncertainty; generation vs consumption basis mismatch can bias results. Legal/ethical constraints: PIPL compliance and worker consent may limit data detail or prevent inclusion of some informal sites. Cost and logistics: procurement lead times and budget constraints may limit number of pilot sites and redundancy. Generalization limits: method tuned to Chinese grid mixes and dismantling practices may not transfer without re-calibration to other countries or different e-waste processes.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