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purpose_renewal_design</w:t>
      </w:r>
    </w:p>
    <w:p>
      <w:r>
        <w:t xml:space="preserve"> </w:t>
      </w:r>
    </w:p>
    <w:p>
      <w:pPr>
        <w:pStyle w:val="Heading2"/>
      </w:pPr>
      <w:r>
        <w:t>Title</w:t>
      </w:r>
    </w:p>
    <w:p>
      <w:r>
        <w:t>A mixed-methods design-oriented study using systematic review, text-derived purpose measurement, and causal-identification methods to test how corporate purpose affects strategic renewal</w:t>
      </w:r>
    </w:p>
    <w:p>
      <w:r>
        <w:t xml:space="preserve"> </w:t>
      </w:r>
    </w:p>
    <w:p>
      <w:pPr>
        <w:pStyle w:val="Heading2"/>
      </w:pPr>
      <w:r>
        <w:t>Short Hypothesis</w:t>
      </w:r>
    </w:p>
    <w:p>
      <w:r>
        <w:t>Public communication of a transformative corporate purpose causes greater firm-level strategic renewal within three years compared to communication of an instrumental purpose.</w:t>
      </w:r>
    </w:p>
    <w:p>
      <w:r>
        <w:t xml:space="preserve"> </w:t>
      </w:r>
    </w:p>
    <w:p>
      <w:pPr>
        <w:pStyle w:val="Heading2"/>
      </w:pPr>
      <w:r>
        <w:t>Related Work</w:t>
      </w:r>
    </w:p>
    <w:p>
      <w:r>
        <w:t>Prior work splits into three streams: (1) corporate purpose research that describes typologies and measurement but often uses cross-sectional or conceptual approaches; (2) strategic renewal research that measures renewal via innovation, M&amp;A, and organizational change but often treats purpose as background context; (3) computational text methods that infer firm signals from disclosures but rarely validate against behavioral outcomes. Existing approaches use basic text counts, dictionary methods, or small hand-coded samples and apply ordinary panel regressions or case studies for causal claims. Key limitations are fragmentation across literatures, weak causal identification (endogeneity and timing issues), limited measurement validation for purpose constructs, narrow language scope, scarce mediation tests linking cognition (attention, identity, absorptive capacity) to renewal, and insufficient preregistration or multiplicity control.</w:t>
      </w:r>
    </w:p>
    <w:p>
      <w:r>
        <w:t xml:space="preserve"> </w:t>
      </w:r>
    </w:p>
    <w:p>
      <w:pPr>
        <w:pStyle w:val="Heading2"/>
      </w:pPr>
      <w:r>
        <w:t>Abstract</w:t>
      </w:r>
    </w:p>
    <w:p>
      <w:r>
        <w:t>This study addresses whether and how corporate purpose expressed in firm communications drives strategic renewal. We combine a systematic literature review with a reproducible empirical program: build a multilingual corpus of corporate texts, develop validated text classifiers to label purpose orientation and strength, construct a composite strategic-renewal index, and apply pre-registered causal-identification strategies (difference-in-differences, event studies with staggered timing estimators, synthetic control, and IV/RD where feasible). We complement archival analysis with vignette experiments and firm-field pilots to test micro-mechanisms (attention allocation, sensemaking, absorptive capacity) as mediators. Main contributions are (a) a validated, scalable measure of corporate purpose; (b) causal evidence on purpose→renewal with clear identification diagnostics; and (c) a design-oriented agenda linking text signals, cognitive mechanisms, and firm outcomes. Expected outcomes include robust estimates of effect sizes, validated mediation pathways, and open protocols and code for reproducible follow-up research.</w:t>
      </w:r>
    </w:p>
    <w:p>
      <w:r>
        <w:t xml:space="preserve"> </w:t>
      </w:r>
    </w:p>
    <w:p>
      <w:pPr>
        <w:pStyle w:val="Heading2"/>
      </w:pPr>
      <w:r>
        <w:t>Methodology</w:t>
      </w:r>
    </w:p>
    <w:p>
      <w:r>
        <w:t>1) Systematic review: run reproducible searches across Web of Science, Scopus, Business Source, ABI/INFORM, PsycINFO, ProQuest, and Factiva; screen with dual independent reviewers; code studies for purpose definitions, renewal types, mechanisms, methods, and gaps. 2) Corpus and labeling: collect mission/vision statements, CEO letters, annual/CSR reports, press releases, investor presentations, and available internal communications in English plus Spanish, French, German, Mandarin. Create a labeled dataset: pilot 50 documents, core labeled set 300+ with 30% dual coding. Labels: purpose orientation {instrumental, integrative, transformative}, purpose strength {low, medium, high}. 3) NLP models: fine-tune transformer models (RoBERTa for English, XLM-R for multilingual) and compare to TF-IDF + logistic/SVM baselines. Use 70/15/15 stratified splits, fixed random seeds. Report per-class precision/recall/F1, macro-F1, ROC/AUC, calibration plots, and explainability (LIME/SHAP). 4) Renewal index: construct component measures (patent flows normalized by firm size, R&amp;D growth, revenue from new products, innovation M&amp;A, structural reorganization events), standardize to z-scores, and pre-specify one primary index variant for main inference. 5) Causal identification: pre-register primary estimators—DiD with firm and year fixed effects, Sun &amp; Abraham / Callaway &amp; Sant’Anna for staggered treatment timing, event studies with lead tests, Arellano-Bond for dynamics. Use synthetic control and permutation placebo tests for single-firm events. Specify candidate exogenous shocks (regulatory disclosure rollouts, index cutoffs, abrupt CEO exits, policy shocks) and diagnostics for exclusion restrictions (balance tests, placebo outcomes, event-motivation coding). 6) Mediation: measure mediators annually (topic share for attention, identity markers for sensemaking, R&amp;D stock and patents for absorptive capacity, governance variables) and test mediation with longitudinal causal mediation methods (Imai framework) including sensitivity bounds. 7) Experiments: run vignette experiments manipulating CEO-letter messages (instrumental/integrative/transformative) × governance framing; pretest materials; collect process measures on attention and choice tasks. 8) Reproducibility: preregister protocols on OSF, archive code and non-sensitive data, and document all decisions.</w:t>
      </w:r>
    </w:p>
    <w:p>
      <w:r>
        <w:t xml:space="preserve"> </w:t>
      </w:r>
    </w:p>
    <w:p>
      <w:pPr>
        <w:pStyle w:val="Heading2"/>
      </w:pPr>
      <w:r>
        <w:t>Experiments</w:t>
      </w:r>
    </w:p>
    <w:p>
      <w:r>
        <w:t xml:space="preserve">Datasets: 1) Archival panel: Compustat/CRSP linked to corporate texts from Factiva and firm websites for 800–1,500 publicly listed firms over 8–12 years. 2) Labeled text corpus: 300+ hand-labeled documents (30% dual-coded). 3) Experimental samples: online vignette N=300 (power for medium effect), field pilots with 30–60 partner units where possible. Baselines: TF-IDF + logistic regression, TF-IDF + SVM, and transformer models (RoBERTa for English, XLM-R for multilingual). Renewal outcome baselines: single-component measures (patent flow, R&amp;D growth) versus composite index variants (equal-weight, PCA-weight, theory-weight). Evaluation metrics: NLP: per-class precision, recall, F1, macro-F1 (primary); ROC/AUC and calibration. Causal inference: treatment effects (ATTs), event-study coefficients with lead/lag plots, MSPE for synthetic control, first-stage F-statistics for IVs, Oster bounds for omitted variables, and sensitivity bounds for mediation (Imai sensitivity). Experimental setup: NLP training with lr ∈ {1e-5, 2e-5, 5e-5}, batch ∈ {16,32}, epochs 3–10, early stopping, fixed seeds. Train/val/test = 70/15/15 stratified by class. Pre-specified deployment threshold macro-F1 ≥ 0.75 and per-class minimums (e.g., F1 ≥ 0.60). Causal tests: primary specification uses DiD with firm and year FE and clustered SEs at firm level; staggered timing uses Sun &amp; Abraham and Callaway–Sant’Anna estimators. Ablations: (A) remove transformer features and retrain on TF-IDF baselines; (B) replace composite renewal index with single components; (C) drop language-specific models and use only English to test cross-language effects; (D) test latent SEM measurement versus raw transformer score in primary regressions. Reporting: preregistered primary hypothesis tests limited to 1–3 main comparisons and correct for multiplicity with FDR within families. </w:t>
      </w:r>
    </w:p>
    <w:p>
      <w:r>
        <w:t xml:space="preserve"> </w:t>
      </w:r>
    </w:p>
    <w:p>
      <w:pPr>
        <w:pStyle w:val="Heading2"/>
      </w:pPr>
      <w:r>
        <w:t>Risk Factors And Limitations</w:t>
      </w:r>
    </w:p>
    <w:p>
      <w:r>
        <w:t>1) Data access: internal communications and meeting logs may be unavailable, reducing mediator measurement; archival text coverage may vary by language and firm. 2) Measurement bias: annotation bias, class imbalance, and domain shift across industries or languages can reduce classifier validity. 3) ML failure modes: transformer models may not reach required per-class thresholds; compute costs may be high for multilingual fine-tuning. 4) Causal threats: candidate shocks (CEO exits, activist campaigns) may be endogenous to firm distress, violating exclusion restrictions and biasing estimates. 5) Mediation limits: causal mediation needs strong untestable assumptions (no unobserved mediator–outcome confounding); sensitivity remains. 6) Generalizability: results from publicly listed firms and English-dominant texts may not generalize to private firms or other languages/contexts. 7) Scalability: labeling 300+ documents with high-quality dual coding requires time and human resources; delays risk missing deadlines. 8) Multiplicity and researcher degrees of freedom: many outcomes and specifications increase false positive risk if primary tests are not tightly pre-specified.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