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Assessing the impacts of land use and land cover change on ecosystem service value in Qianyang County, China using the PLUS model, InVEST modules, and spatial-statistical analysis</w:t>
      </w:r>
    </w:p>
    <w:p>
      <w:r>
        <w:t xml:space="preserve"> </w:t>
      </w:r>
    </w:p>
    <w:p>
      <w:pPr>
        <w:pStyle w:val="Heading2"/>
      </w:pPr>
      <w:r>
        <w:t>Short Hypothesis</w:t>
      </w:r>
    </w:p>
    <w:p>
      <w:r>
        <w:t>Conversions of forest or cropland to urban land between 2007 and 2022 caused a greater than 10% decrease in total ecosystem service value (ESV) in Qianyang County, and under a PLUS-modeled 2050 high-development scenario total ESV will be more than 10% lower than under a 2050 conservation scenario.</w:t>
      </w:r>
    </w:p>
    <w:p>
      <w:r>
        <w:t xml:space="preserve"> </w:t>
      </w:r>
    </w:p>
    <w:p>
      <w:pPr>
        <w:pStyle w:val="Heading2"/>
      </w:pPr>
      <w:r>
        <w:t>Related Work</w:t>
      </w:r>
    </w:p>
    <w:p>
      <w:r>
        <w:t>Existing studies combine land-use change models, ecosystem-service valuation (benefit-transfer or process models like InVEST), and spatial statistics to map ESV trends. Typical land-change models either use cellular automata or patch-expansion methods; PLUS is a recent patch-based model that better represents multiple transition types. Prior valuation work often uses single-point benefit-transfer values without formal uncertainty propagation. Spatial-statistical analyses of ESV commonly report global clustering (e.g., Moran’s I) but rarely propagate LULC and valuation uncertainty into hotspot detection. Limitations in current approaches include coarse or inconsistent crosswalks between LULC and service modules, weak calibration against local hydrology/biomass data, limited Monte Carlo propagation of both classification and valuation uncertainty, lack of reproducible emulator designs for large ensembles, and inadequate handling of mixed (fractional) pixels and spatial non-stationarity.</w:t>
      </w:r>
    </w:p>
    <w:p>
      <w:r>
        <w:t xml:space="preserve"> </w:t>
      </w:r>
    </w:p>
    <w:p>
      <w:pPr>
        <w:pStyle w:val="Heading2"/>
      </w:pPr>
      <w:r>
        <w:t>Abstract</w:t>
      </w:r>
    </w:p>
    <w:p>
      <w:r>
        <w:t>Qianyang County faces land-use transitions that can alter the value of ecosystem services (ESV). This study quantifies how 2007–2022 land use and land cover (LULC) changes affected ESV and projects 2050 outcomes under alternative policy scenarios. We combine high-resolution 30 m LULC time series, the PLUS land-change model for scenario simulation, InVEST modules for five service categories (carbon, water yield, sediment retention, nutrient retention, habitat quality), and spatial-statistical methods (global Moran’s I, local indicators, Getis-Ord Gi*). Main contributions are: (1) an explicit LULC→InVEST crosswalk with parameter priors and documented benefit-transfer scaling; (2) a two-stream Monte Carlo that propagates LULC-classification and valuation uncertainty; (3) an emulator-based multi-stage ensemble to enable thousands of realizations with traceable uncertainty feeding spatial hotspot persistence maps. Expected outcomes are reproducible maps of mean and credible-interval ESV, validated emulator diagnostics, and quantified differences among 2050 scenarios to support local land management decisions.</w:t>
      </w:r>
    </w:p>
    <w:p>
      <w:r>
        <w:t xml:space="preserve"> </w:t>
      </w:r>
    </w:p>
    <w:p>
      <w:pPr>
        <w:pStyle w:val="Heading2"/>
      </w:pPr>
      <w:r>
        <w:t>Methodology</w:t>
      </w:r>
    </w:p>
    <w:p>
      <w:r>
        <w:t>1) Data preparation: assemble 30 m LULC maps for epochs 2007, 2012, 2017, 2022; DEM, soil maps, climate normals, NDVI/NPP, road network, population/GDP time series, and local hydrology/biomass station data. 2) LULC crosswalk: produce a deterministic table mapping LULC classes (forest, cropland, grassland, shrub, orchard, wetland, water, urban/impervious, bare/mining) to InVEST module input classes and to PLUS transition types. 3) InVEST modules: select five modules — Carbon Storage (stores carbon pools), Water Yield (estimates annual water yield), Sediment Retention (estimates sediment delivery avoided), Nutrient Retention (estimates nutrient export avoided), Habitat Quality (indexes habitat condition). For each module list required parameters (e.g., carbon density, crop Kc, soil erodibility K, SDR, pollutant export coefficients, habitat suitability scores) and assign prior distributions (log-normal for strictly positive quantities, triangular where bounds are expert-bounded). 4) PLUS calibration: train PLUS with 70/30 train/test split across epochs, with last epoch withheld for validation. Report AUC, FoM, Kappa, and per-transition confusion matrices. 5) Scenario construction: define 2050 scenarios as numeric driver trajectories (annual % population, GDP growth, road expansion km/yr, protected-area % locked, agricultural yield change %/yr) and encode decision rules mapping driver perturbations to PLUS transition probabilities. 6) Monte Carlo two-stream: (a) sample pixel classes using the empirical confusion matrix to produce alternative LULC realizations; (b) sample valuation and biophysical parameters from priors. Run N=2000 iterations. 7) Emulation: run a limited set (50–100) of full PLUS+InVEST simulations stratified by landscape type, train Random Forest or Gaussian Process emulators to predict ESV outputs, validate with spatial holdouts. 8) Spatial statistics: compute global Moran’s I (permutation test with 4,999 permutations), local Moran’s I (LISA), Getis-Ord Gi* with Benjamini-Hochberg FDR at alpha=0.05. Produce hotspot persistence maps showing fraction of iterations where a pixel is significant. 9) Field validation: use stratified sampling (target 500 points) to collect ground-truth LULC and biophysical measures for calibration. 10) Reproducibility: containerize pipeline, seed RNGs, pin library versions, and publish crosswalks, priors, driver matrices, and example configs.</w:t>
      </w:r>
    </w:p>
    <w:p>
      <w:r>
        <w:t xml:space="preserve"> </w:t>
      </w:r>
    </w:p>
    <w:p>
      <w:pPr>
        <w:pStyle w:val="Heading2"/>
      </w:pPr>
      <w:r>
        <w:t>Experiments</w:t>
      </w:r>
    </w:p>
    <w:p>
      <w:r>
        <w:t>Datasets: 30 m LULC epochs (2007,2012,2017,2022), DEM, soil K-factor, climate normals, NDVI/NPP stack, county road network and construction history, population/GDP time series, streamflow and sediment station records, biomass inventories. Baselines: A) no-change extrapolation; B) PLUS single-run deterministic scenario; C) InVEST with point benefit-transfer values and no uncertainty. Evaluation metrics: total and per-service ESV change (%), county-level ESV credible interval width (95% CI), AUC and FoM for PLUS calibration, producer/user accuracy and Kappa for LULC, RMSE and bias of emulator predictions relative to held-out full runs, Moran’s I z-score and p-value, hotspot persistence (%) per pixel. Experimental setup: 1) Reconstruct historical LULC change 2007–2022 and compute change in ESV using reference valuation table; 2) Calibrate PLUS using 70/30 split; report AUC, FoM, Kappa; 3) Generate 2050 scenarios (development, conservation, rural revitalization, baseline) as explicit driver trajectories and run: (a) full PLUS+InVEST for Nplus=50–100 stratified runs, (b) train emulator on these runs, (c) run Monte Carlo N=2000 using emulator to produce ESV ensembles. Spatial cross-validation: use spatial block CV (5 folds) when training emulators; hold out spatial blocks for diagnostics. Ablation studies: I) remove NPP/NDVI scaling from valuation; II) run Monte Carlo without LULC classification resampling; III) compare emulator predictions trained with and without neighborhood/landscape-metric features. Report differences in total ESV, CI widths, and hotspot persistence. Acceptance thresholds: emulator RMSE &lt;=10% of mean ESV and bias &lt;5%; PLUS AUC &gt;=0.90 and FoM &gt;=0.80 for primary transitions.</w:t>
      </w:r>
    </w:p>
    <w:p>
      <w:r>
        <w:t xml:space="preserve"> </w:t>
      </w:r>
    </w:p>
    <w:p>
      <w:pPr>
        <w:pStyle w:val="Heading2"/>
      </w:pPr>
      <w:r>
        <w:t>Risk Factors And Limitations</w:t>
      </w:r>
    </w:p>
    <w:p>
      <w:r>
        <w:t>1) Data gaps: missing or sparse local hydrology, sediment, or biomass data will limit module calibration and increase uncertainty. 2) Benefit-transfer limits: literature values may not reflect local socioeconomic or ecological conditions, producing biased ESV estimates. 3) Emulator failure modes: emulators may underfit rare transitions or produce biased spatial predictions, especially outside training strata. 4) Mixed pixels and spatial non-stationarity: 30 m pixels can contain mixed cover; fractional treatment adds complexity and may not fully resolve local heterogeneity. 5) Computational constraints: full PLUS+InVEST ensembles at 30 m for the entire county may exceed available core-hours or memory and force reduced ensemble size. 6) Validation bias: field sampling may under-sample rare classes or inaccessible areas, producing biased accuracy estimates. 7) Scenario uncertainty: socio-economic driver projections are inherently uncertain and results depend strongly on chosen envelopes. 8) Generalization limits: methods and priors tuned to Qianyang may not transfer to other regions without re-calibration. 9) Legal/data sharing constraints: local licensing or privacy rules may restrict publication of raw input layers or field coordinates.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