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dvt_pmt_motivation_scale</w:t>
      </w:r>
    </w:p>
    <w:p>
      <w:r>
        <w:t xml:space="preserve"> </w:t>
      </w:r>
    </w:p>
    <w:p>
      <w:pPr>
        <w:pStyle w:val="Heading2"/>
      </w:pPr>
      <w:r>
        <w:t>Title</w:t>
      </w:r>
    </w:p>
    <w:p>
      <w:r>
        <w:t>Development and validation of a Protection Motivation Theory-based scale measuring motivation for post-discharge deep vein thrombosis prophylaxis after hip and knee arthroplasty</w:t>
      </w:r>
    </w:p>
    <w:p>
      <w:r>
        <w:t xml:space="preserve"> </w:t>
      </w:r>
    </w:p>
    <w:p>
      <w:pPr>
        <w:pStyle w:val="Heading2"/>
      </w:pPr>
      <w:r>
        <w:t>Short Hypothesis</w:t>
      </w:r>
    </w:p>
    <w:p>
      <w:r>
        <w:t>Higher baseline scores on the PMT-based motivation scale cause higher odds of anticoagulant adherence, defined as pharmacy proportion of days covered (PDC) ≥80% at 90 days post-discharge.</w:t>
      </w:r>
    </w:p>
    <w:p>
      <w:r>
        <w:t xml:space="preserve"> </w:t>
      </w:r>
    </w:p>
    <w:p>
      <w:pPr>
        <w:pStyle w:val="Heading2"/>
      </w:pPr>
      <w:r>
        <w:t>Related Work</w:t>
      </w:r>
    </w:p>
    <w:p>
      <w:r>
        <w:t>Existing work includes generic adherence and self-efficacy questionnaires and some Protection Motivation Theory (PMT) instruments for health behaviors. Prior DVT-related studies mainly measure adherence with self-report or pharmacy refills without PMT grounding. Common weaknesses are: instruments not tailored to post-arthroplasty regimens (oral vs injection), lack of item-response-theory (IRT) calibration, small sample sizes that prevent robust differential item functioning (DIF) testing, limited cross-language or low-literacy validation, absence of objective adherence linkage (MEMS or pharmacy-derived PDC) for predictive validity, and rare reporting of test–retest reliability, short-form derivation rules, or responsiveness. No prior work provides a unified workflow combining qualitative PMT item generation, IRT-based calibration, DIF remediation, and prespecified predictive-validity tests against objective adherence metrics.</w:t>
      </w:r>
    </w:p>
    <w:p>
      <w:r>
        <w:t xml:space="preserve"> </w:t>
      </w:r>
    </w:p>
    <w:p>
      <w:pPr>
        <w:pStyle w:val="Heading2"/>
      </w:pPr>
      <w:r>
        <w:t>Abstract</w:t>
      </w:r>
    </w:p>
    <w:p>
      <w:r>
        <w:t>We propose to create and validate a theory-grounded instrument that measures patient motivation for deep vein thrombosis (DVT) prophylaxis after hip or knee arthroplasty. Using Protection Motivation Theory (PMT) as the conceptual map, items will be generated from literature, patient interviews, and clinician input, then cognitively tested across languages and literacy levels. The candidate pool will be psychometrically evaluated using exploratory and confirmatory factor analysis and item-response theory (IRT) calibration, with graded response modeling as primary. We will assess reliability (internal consistency, test–retest), measurement invariance and DIF across subgroups, and derive an 8–12 item short form for clinical use. Predictive validity will be tested by linking baseline scores to objective adherence (primary outcome: pharmacy PDC ≥80% at 90 days), using logistic and penalized regression. Main contributions are a validated PMT-based DVT prophylaxis motivation scale, IRT parameters and crosswalks for summed-score use in EHRs, and prespecified rules for DIF and short-form selection. Expected impact: a reproducible tool to target adherence interventions after arthroplasty.</w:t>
      </w:r>
    </w:p>
    <w:p>
      <w:r>
        <w:t xml:space="preserve"> </w:t>
      </w:r>
    </w:p>
    <w:p>
      <w:pPr>
        <w:pStyle w:val="Heading2"/>
      </w:pPr>
      <w:r>
        <w:t>Methodology</w:t>
      </w:r>
    </w:p>
    <w:p>
      <w:r>
        <w:t>1) Item generation: conduct literature review, 25–40 concept interviews, focus groups, and 20–30 cognitive interviews across hip/knee patients and language/literacy strata to create candidate items mapped to PMT domains (threat: severity/vulnerability; coping: self-efficacy/response efficacy/response cost; habit/planning). 2) Translation and low-literacy variants: use decentering, forward-backward translation, plain-language and pictorial versions; cognitive-test each variant. 3) Pilot fielding: enroll a multi-site sample (target N≈600) of post-discharge hip/knee patients; collect item responses, demographics, regimen type, and objective adherence (MEMS when available, pharmacy PDC). 4) Dimensionality and factor analysis: run EFA on polychoric correlations; run CFA with WLSMV estimator for ordinal data and report CFI/TLI/RMSEA/SRMR. 5) IRT calibration: primary model = graded response model (GRM). GRM models the probability of endorsing ordered response categories; compare to generalized partial credit model (GPCM) in ablation. Report item slopes, thresholds, item-fit statistics (S-X2), test information, and conditional standard errors. 6) Reliability: compute Cronbach’s alpha, McDonald’s omega, and test–retest ICC(2,1) in n=100–150 retest sample. 7) DIF and invariance: detect DIF using IRT likelihood-ratio tests and ordinal logistic regression; report effect sizes and apply Benjamini–Hochberg FDR. 8) Short form derivation: select 8–12 items by combining quantitative rules (item information across theta range relevant to clinical decision, low local dependence, language parity, readability) and content rules (coverage of PMT domains). 9) Scoring and crosswalks: produce IRT-theta scores and equipercentile crosswalks to summed scores for EHR use. 10) Predictive models: test association of baseline theta with PDC≥80% at 90 days using logistic regression, compare IRT-theta predictor vs summed-score predictor, adjust using LASSO/ridge for covariates, and report AUC and calibration.</w:t>
      </w:r>
    </w:p>
    <w:p>
      <w:r>
        <w:t xml:space="preserve"> </w:t>
      </w:r>
    </w:p>
    <w:p>
      <w:pPr>
        <w:pStyle w:val="Heading2"/>
      </w:pPr>
      <w:r>
        <w:t>Experiments</w:t>
      </w:r>
    </w:p>
    <w:p>
      <w:r>
        <w:t>Dataset: recruit N=600 post-discharge hip or knee arthroplasty patients across multiple sites; retest subset n=100–150 (7–14 day interval); MEMS subsample n≈200 if budget allows; collect pharmacy refill data for full sample to compute PDC at 90 days. Baselines: existing self-efficacy/adherence questionnaires and summed-score versions of the new scale. Evaluation metrics: dimensionality (parallel analysis, ECV), CFA fit (CFI≥0.95, TLI≥0.95, RMSEA≤0.06, SRMR≤0.08), IRT item-fit (S-X2 p-values), item discrimination (slope), test information function, conditional standard error of measurement, internal consistency (omega), test–retest ICC(2,1), DIF statistics (IRT-LR chi-square, effect-size Δexpected score), predictive validity AUC, calibration slope/intercept, sensitivity/specificity for PDC≥80%, and net reclassification index comparing models. Experimental setup: 1) Split sample: random 60% calibration (EFA+IRT), 40% validation (CFA, predictive models). 2) Model comparison ablation: GRM (primary) vs GPCM; compare model fit indices and predictive performance. 3) Scoring comparison: logistic regression predicting PDC≥80% using IRT-theta vs summed-score; report AUC and calibration for both. 4) Short form ablation: compare full-scale vs 8–12 item short form on internal reliability, AUC, and test information in theta range used for decision-making. 5) DIF experiment: perform DIF detection for groups (hip vs knee, language, high vs low literacy); if items flagged, compare predictive models with and without flagged items. 6) Sensitivity analyses: alternative adherence hierarchies (MEMS&gt; PDC&gt; clinician report) and missing-data methods (FIML vs multiple imputation); report stability of predictive coefficients.</w:t>
      </w:r>
    </w:p>
    <w:p>
      <w:r>
        <w:t xml:space="preserve"> </w:t>
      </w:r>
    </w:p>
    <w:p>
      <w:pPr>
        <w:pStyle w:val="Heading2"/>
      </w:pPr>
      <w:r>
        <w:t>Risk Factors And Limitations</w:t>
      </w:r>
    </w:p>
    <w:p>
      <w:r>
        <w:t>Low event rate for symptomatic DVT/PE limits direct event-based validation and may require very large samples. MEMS devices may have high cost, loss, or nonuse leading to missing granular adherence data. Social desirability and self-report bias can inflate concordance with intended behavior and affect item responses. Ceiling or floor effects in items may reduce discrimination in some subgroups. Small subgroup sizes (languages, low literacy) reduce power for DIF detection and invariance testing. IRT calibration and DIF tests require adequate sample sizes and computational resources; improper model fit could invalidate theta scores. Cross-cultural translation may fail to achieve scalar invariance, limiting score comparability. Predictive models may be confounded by unmeasured factors (access, cost, caregiver support), limiting causal interpretation. Generalization may be limited to hip/knee arthroplasty populations and to healthcare systems with pharmacy refill data availability.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