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merton_fernandez_tradeoff_model</w:t>
      </w:r>
    </w:p>
    <w:p>
      <w:r>
        <w:t xml:space="preserve"> </w:t>
      </w:r>
    </w:p>
    <w:p>
      <w:pPr>
        <w:pStyle w:val="Heading2"/>
      </w:pPr>
      <w:r>
        <w:t>Title</w:t>
      </w:r>
    </w:p>
    <w:p>
      <w:r>
        <w:t>Integrating Fernandez cost-of-leverage with a Merton structural valuation to compute optimal bank capital and WACC under state-dependent liquidity</w:t>
      </w:r>
    </w:p>
    <w:p>
      <w:r>
        <w:t xml:space="preserve"> </w:t>
      </w:r>
    </w:p>
    <w:p>
      <w:pPr>
        <w:pStyle w:val="Heading2"/>
      </w:pPr>
      <w:r>
        <w:t>Short Hypothesis</w:t>
      </w:r>
    </w:p>
    <w:p>
      <w:r>
        <w:t>Endogenously increasing a bank's equity ratio reduces its weighted average cost of capital (WACC) net of lost debt tax shields and liquidity premia up to an interior optimum that depends on asset risk, liquidity regime, and debt-policy parameters.</w:t>
      </w:r>
    </w:p>
    <w:p>
      <w:r>
        <w:t xml:space="preserve"> </w:t>
      </w:r>
    </w:p>
    <w:p>
      <w:pPr>
        <w:pStyle w:val="Heading2"/>
      </w:pPr>
      <w:r>
        <w:t>Related Work</w:t>
      </w:r>
    </w:p>
    <w:p>
      <w:r>
        <w:t>Existing literature combines trade-off corporate finance (balancing tax shields and distress costs) and structural credit models (Merton-type valuation). Fernandez-style cost-of-leverage models capture how leverage raises funding costs but typically treat liquidity effects or leakage as reduced-form or exogenous. Merton-based approaches recover asset value and default probability from equity/options but often assume fixed debt costs and ignore state-dependent runs and debt-policy controls. Empirical work estimates bank capital effects either with reduced-form regressions or sequential procedures (Merton inversion then calibration), which can induce identification and measurement error problems. Gaps: (1) lack of joint structural estimation that recovers depositor-leakage functions and asset dynamics simultaneously; (2) limited incorporation of state-dependent liquidity premia on debt costs; (3) simplifications of debt term/maturity structure and regulatory constraints; (4) weak instrument strategies for endogenous regulatory shocks.</w:t>
      </w:r>
    </w:p>
    <w:p>
      <w:r>
        <w:t xml:space="preserve"> </w:t>
      </w:r>
    </w:p>
    <w:p>
      <w:pPr>
        <w:pStyle w:val="Heading2"/>
      </w:pPr>
      <w:r>
        <w:t>Abstract</w:t>
      </w:r>
    </w:p>
    <w:p>
      <w:r>
        <w:t>Banks choose equity and debt policies that change their funding costs and failure risk. We propose an integrated structural framework that merges Fernandez-style cost-of-leverage (which quantifies debt-side costs including lost tax shields) with a Merton valuation of assets to compute the bank’s weighted average cost of capital (WACC) and an optimal equity ratio. The model introduces a state-dependent leakage (run) function that rises sharply near distance-to-default and multiplicative liquidity modifiers on debt cost. We derive the Hamilton-Jacobi-Bellman (HJB) condition for private-value maximization and map a calibrated social-welfare adjustment that captures depositor and fiscal externalities. Estimation proceeds via joint Bayesian hierarchical inference that recovers asset-process parameters and leakage simultaneously from balance sheets, option-implied volatilities, CDS and deposit-flow data, with measurement-error models. Contributions: (i) a tractable HJB derivation linking equity changes to WACC components, (ii) joint structural estimation for identification, and (iii) counterfactual capital requirements across asset, tax and liquidity regimes. Expected outcome: reproducible policy rules for optimal capital that reflect liquidity and country heterogeneity.</w:t>
      </w:r>
    </w:p>
    <w:p>
      <w:r>
        <w:t xml:space="preserve"> </w:t>
      </w:r>
    </w:p>
    <w:p>
      <w:pPr>
        <w:pStyle w:val="Heading2"/>
      </w:pPr>
      <w:r>
        <w:t>Methodology</w:t>
      </w:r>
    </w:p>
    <w:p>
      <w:r>
        <w:t>1) Model definition: state variables are bank asset value A (market value) and equity ratio e = E/(E+D). Debt boundary B represents promised payments or regulatory floor. Define debt cost K_d(A,e,L,ell) = K_d0 * f_E(e) * f_L(ell) where f_E(e) (e.g., e^{alpha_E} or logistic) captures how equity changes debt-return sensitivity and f_L(ell) (e.g., exp(-beta_L * ell)) captures liquidity premia. Leakage (run) lambda is a sigmoid in distance-to-default DD=(A-B)/B: lambda(A,B,t)=lambda_max(t)/(1+exp(-kappa(t)*DD)). Explain: distance-to-default is how far assets sit above debt obligations. 2) Objective and WACC: write private-value objective V(A,t) solving HJB with control e and optional control on B_t. WACC formula decomposes into cost of equity, K_d, and present value of debt tax shields (PV_TS). Show analytically how dV/de depends on dK_d/de, dPV_TS/de and d(lambda)/de through PD. 3) Asset-process and Merton inversion: allow GBM, jump-diffusion, or stochastic volatility for A. Use option-implied vol and equity prices to invert for latent A and sigma_A (Merton inversion). Explain: inversion recovers unobserved asset values by fitting equity as an option on assets. 4) Estimation: build a joint Bayesian hierarchical model that simultaneously estimates asset-process params, leakage parameters (lambda_max,kappa), f_E and f_L coefficients, and measurement-error variances. Hierarchical priors pool across countries while allowing country effects. Use particle/Kalman filtering to fuse realized and implied volatility. 5) Computation: solve HJB numerically with adaptive grids on A and e using policy iteration; policy iteration finds optimal e by iterating value and policy functions. Use sparse-grid PDEs and, for large sweeps, a surrogate model (Gaussian process or neural net) trained on solver outputs. 6) Validation: run Monte Carlo pathwise checks, crisis-replication tests, and posterior predictive checks. Produce reproducible notebooks and unit tests. 7) Deliverables: HJB derivations, solver code, estimation notebooks, posterior parameter sets, and counterfactual dashboards.</w:t>
      </w:r>
    </w:p>
    <w:p>
      <w:r>
        <w:t xml:space="preserve"> </w:t>
      </w:r>
    </w:p>
    <w:p>
      <w:pPr>
        <w:pStyle w:val="Heading2"/>
      </w:pPr>
      <w:r>
        <w:t>Experiments</w:t>
      </w:r>
    </w:p>
    <w:p>
      <w:r>
        <w:t>Datasets: bank-level balance sheets and income (2005-2020) for ~500 banks across 10 jurisdictions; equity prices and option-implied volatility surfaces; single-name CDS spreads; deposit-flow series (FDIC, ECB granular stats where available); sovereign spreads and regulatory event calendar (Basel, TLAC, stress tests). Baselines: (A) Fernandez-style trade-off calibrated sequentially (debt cost exogenous), (B) pure Merton structural model with fixed K_d, (C) reduced-form WACC regression (OLS). Metrics: out-of-sample default (PD) forecast AUC; WACC estimation RMSE on held-out periods; posterior coverage (credible interval coverage) for key params; identification power metrics from simulated-data (bias, RMSE across draws); computational metrics (runtime per posterior draw, memory). Experimental setup: (1) Preprocess panel: align dates, interpolate missing option IVs with Kalman filter; split sample into training (2005-2016), validation (2017-2018), test (2019-2020). (2) Estimation runs: full joint Bayesian estimation (primary) vs block-MCMC (block: asset-process then leakage) vs sequential inversion baseline. Use 2,000 posterior draws after burn-in. (3) Ablation studies: remove state-dependent lambda (set lambda constant), remove liquidity modifier f_L (set beta_L=0), fix B as exogenous vs control B_t; test how parameter estimates, PD AUC, and WACC RMSE change. (4) Simulation experiments: three DGPs (GBM clean, jump-diffusion crisis, SV with regime shifts) with sample sizes N={50,200,500} to produce power tables for joint identification of lambda and asset params. Report IV diagnostics: first-stage F, overidentification p-values, and placebo lead-lag tests for regulatory instruments. (5) Policy counterfactuals: compute optimal CET1 under baseline and with social-welfare adjustment (include depositor loss and fiscal exposure) and compare across model variants.</w:t>
      </w:r>
    </w:p>
    <w:p>
      <w:r>
        <w:t xml:space="preserve"> </w:t>
      </w:r>
    </w:p>
    <w:p>
      <w:pPr>
        <w:pStyle w:val="Heading2"/>
      </w:pPr>
      <w:r>
        <w:t>Risk Factors And Limitations</w:t>
      </w:r>
    </w:p>
    <w:p>
      <w:r>
        <w:t>1) Identification failure: joint estimation of lambda(·) and asset dynamics may be weak if option/CDS data are thin; instruments (regulatory events) may be endogenous causing biased IV estimates. 2) Model misspecification: wrong asset-process choice (ignoring jumps or SV) or wrong functional forms for f_E/f_L/lambda can bias optimal capital and WACC. 3) Data gaps and measurement error: sparse CDS, missing high-frequency deposit flows, and noisy book vs market debt measures limit precision. 4) Computational scaling: solving a two-dimensional HJB with adaptive grids is CPU- and memory-intensive; full posterior sweeps may require large compute clusters. 5) Generalization limits: calibrated policies may not transfer across jurisdictions with different legal, tax, or bail-in regimes. 6) Policy-translation uncertainty: welfare decompositions rely on external calibration of fiscal and contagion costs, which are themselves uncertain and may change in crises.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