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sustained_cs_revenue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Instrumental-variable and panel analysis of sustained effects of customer satisfaction on individual bank revenue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measured customer satisfaction causes a sustained increase in an individual customer's bank revenue growth over horizons of 1 to 4 years.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linking customer satisfaction and firm revenue typically falls into three approaches: (1) cross-sectional correlations between satisfaction scores and aggregate revenue, which cannot separate cause from effect; (2) panel fixed-effect regressions on repeated customers that reduce time-invariant bias but can be confounded by time-varying factors and feedback from past revenue; and (3) instrumental-variable (IV) or quasi-experimental studies using external shocks to infer causality. Limitations in current methods include reliance on aggregate or branch-level outcomes rather than linked individual survey-record panels, inadequate propagation of measurement error from multi-item satisfaction scales, weak or poorly validated instruments, limited handling of time-varying confounding and feedback, insufficient nonresponse/attrition sensitivity, and weak reporting of heterogeneous effects. Causal‑ML approaches (e.g., causal forests) offer richer heterogeneity detection but are rarely combined with formal measurement-error propagation or IV diagnostics in this literature.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higher customer satisfaction causally increases individual bank revenue and whether that effect is sustained over one to four years. Using a linked panel of survey responses and objective ledger records for 19,060 retail customers, we combine measurement models for multi-item satisfaction scales with instrumental-variable and dynamic panel methods. Primary identification leverages interviewer-day and leave-one-out branch-average instruments, validated by first-stage diagnostics and placebo tests. We propagate latent-score uncertainty via multiple imputation from a confirmatory factor model and integrate these draws into IV, GMM, and causal-ML (cross-fitted DML/causal forest) pipelines. We pre-specify nonlinear functional forms (splines, tiers), clustering, multiplicity controls, and sensitivity analyses for attrition and mediator identification. The main contributions are (a) a reproducible pipeline that jointly handles measurement error and causal identification at the individual level, (b) validated estimates of sustained revenue uplift from satisfaction over 1–4 years, and (c) calibrated heterogeneous-effect estimates translated into per-customer SEK uplift for policy use.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and linkage: create a customer panel by linking survey IDs to bank ledger records; compute annual revenue Y_{i,t} and 1–4 year changes ΔY_{t→t+k}. 2) Measurement: fit a confirmatory factor analysis (CFA) for multi-item satisfaction to produce latent S_t scores. If items are ordinal or scalar invariance fails, use a graded-response IRT model. 3) Propagate measurement uncertainty: draw M = 40–50 posterior-imputed latent-score datasets from the CFA/IRT and export M analysis-ready panels. (Multiple imputation means creating several plausible versions of the latent score and treating each as a dataset; we combine results later.) 4) Identification: primary instruments are interviewer-day effects and leave-one-out branch-average satisfaction. Run first-stage regressions and report F-statistics and partial R2. If instruments are weak (F&lt;10), use LIML or weak-IV robust CIs. 5) Main estimators: run (a) individual and time fixed-effects OLS with lagged controls, (b) IV 2SLS and LIML for causal effect, (c) system GMM (Blundell–Bond) for dynamics, and (d) DML / causal forest for heterogeneous treatment effects. For dynamic feedback, include lagged revenue and lagged satisfaction and conduct Granger-style lead/placebo tests. 6) Pooling: within each imputed panel run cross-fitted estimators (K-fold) and pool point estimates and variances across M imputations using Rubin's rules; for ML-based CATEs aggregate conditional estimates and compute within/between variance. 7) Inference: cluster standard errors at the branch level (two-way if needed), apply multiplicity controls for primary families, and report honest CIs for CATEs. 8) Diagnostics: pre-registered placebo outcomes, balance tests, nonresponse diagnostics (propensity weights, tipping points, Lee bounds), instrument overidentification and direct-pathway checks, and simulation-based MDE calibration. Technical terms explained simply: "2SLS" is two-stage least squares (an IV method), "LIML" is an IV estimator more robust to weak instruments, "GMM" is a method that uses moment conditions to estimate dynamic panels, and "cross-fitting" means splitting data so machine-learning predictions do not use the same data twice.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linked survey and ledger panel for 19,060 Swedish retail customers with annual revenue for at least 1 year pre-survey and up to 4 years post-survey; branch and interviewer identifiers; product-level revenue streams. Baselines: (A) OLS with customer and year fixed effects and lagged controls; (B) IV 2SLS using interviewer-day and leave-one-out branch-average instruments; (C) LIML as weak-IV-robust baseline; (D) system GMM (Blundell–Bond) for dynamics; (E) IPTW marginal structural model; (F) DML / causal forest for heterogeneity. Evaluation metrics: estimated effect sizes β_k (per-year and cumulative SEK uplift), standard errors, 95% CI coverage, first-stage F-statistics and partial R2, RMSE and bias in simulations, CATE calibration (honest CI coverage), and policy KPIs (average SEK uplift per treated customer). Experimental setup: produce M=50 imputed panels; for each panel run K=5 cross-fitted DML and IV pipelines, then pool results. Cluster at branch by default and run two-way clustering (branch × interviewer) where applicable. Pre-specified ablations: (1) measurement propagation off (use point-estimated latent S) vs on (MI M=50); (2) instrumented IV vs OLS FE; (3) continuous spline functional form vs discrete tiers; (4) causal-ML on raw vs imputed latent scores. Simulation study: 1,000 replications varying partial R2 {0.005,0.01,0.03}, linkage error {0%,5%,10%}, measurement-error variance {10%,20%,30%}, and attrition {0,20,40%}; evaluate bias, RMSE and CI coverage for FE, 2SLS, LIML, system-GMM and DML-IV. Report ablation comparisons in tables and pre-registered figures.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Identification: instruments may violate the exclusion restriction if interviewer assignment or branch conditions correlate with future revenue in ways not mediated by satisfaction; results from IV identify a Local Average Treatment Effect (LATE) for compliers, not necessarily the average effect for all customers. 2) Weak instruments: low first-stage partial R2 can reduce precision and bias estimates; LIML and weak-IV methods may be necessary and still produce wide CIs. 3) Attrition and nonresponse: nonrandom loss (MNAR) can bias sustained effects; bounds and selection models may be inconclusive. 4) Measurement limits: failure of measurement invariance or poor item reliability will reduce validity of latent S_t; IRT alternatives may still leave residual measurement error. 5) Dynamic bias: Nickell bias and instrument proliferation in dynamic GMM when T is short, and feedback from revenue to satisfaction complicates causal timing. 6) Spillovers/SUTVA violations: branch-level peer effects may bias leave-one-out instruments. 7) Small-cluster inference: few branches or interviewers limit reliable cluster-robust inference. 8) Generalizability: results from Swedish retail banking may not transfer to other countries or segments. 9) Computational cost: MI (M≈50) combined with cross-fitted DML and simulations is compute-intensive. 10) Privacy and linkage error: imperfect linkage or privacy constraints may reduce sample or introduce matching error impacting estimates.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