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maternal_intergen_mobility_latam</w:t>
      </w:r>
    </w:p>
    <w:p>
      <w:r>
        <w:t xml:space="preserve"> </w:t>
      </w:r>
    </w:p>
    <w:p>
      <w:pPr>
        <w:pStyle w:val="Heading2"/>
      </w:pPr>
      <w:r>
        <w:t>Title</w:t>
      </w:r>
    </w:p>
    <w:p>
      <w:r>
        <w:t>Instrumental and latent-factor analysis of maternal and paternal contributions to intergenerational education and income mobility in five Latin American countries</w:t>
      </w:r>
    </w:p>
    <w:p>
      <w:r>
        <w:t xml:space="preserve"> </w:t>
      </w:r>
    </w:p>
    <w:p>
      <w:pPr>
        <w:pStyle w:val="Heading2"/>
      </w:pPr>
      <w:r>
        <w:t>Short Hypothesis</w:t>
      </w:r>
    </w:p>
    <w:p>
      <w:r>
        <w:t>Exogenous increases in maternal education causally raise children's adult education and income ranks, holding paternal socioeconomic status constant.</w:t>
      </w:r>
    </w:p>
    <w:p>
      <w:r>
        <w:t xml:space="preserve"> </w:t>
      </w:r>
    </w:p>
    <w:p>
      <w:pPr>
        <w:pStyle w:val="Heading2"/>
      </w:pPr>
      <w:r>
        <w:t>Related Work</w:t>
      </w:r>
    </w:p>
    <w:p>
      <w:r>
        <w:t>Existing approaches measure intergenerational mobility using rank–rank regressions, parental education or occupation as single proxies, sibling fixed-effects, and instrumental variables that exploit schooling reforms. Some studies construct latent SES factors or apply measurement-error corrections (for example SIMEX or Bayesian latent models). Limitations include reliance on one-parent proxies, weak or non-differential instruments for mothers, inconsistent occupation codings in informal labor markets, limited cross-country harmonization, insufficient attention to measurement invariance across cohorts, and sparse reporting of reliability ratios. Mediation analyses for maternal channels are often descriptive rather than causal. Cross-country work typically lacks a unified pre-registered rank-construction and measurement-error pipeline, reducing comparability. These gaps motivate methods that combine country-specific mother-differential instruments, calibrated latent-factor measurement-error correction, formal invariance testing, and causal mediation with documented sensitivity.</w:t>
      </w:r>
    </w:p>
    <w:p>
      <w:r>
        <w:t xml:space="preserve"> </w:t>
      </w:r>
    </w:p>
    <w:p>
      <w:pPr>
        <w:pStyle w:val="Heading2"/>
      </w:pPr>
      <w:r>
        <w:t>Abstract</w:t>
      </w:r>
    </w:p>
    <w:p>
      <w:r>
        <w:t>This study measures how maternal and paternal socioeconomic status (SES) shape children’s adult education and income ranks in Brazil, Chile, Ecuador, Mexico, and Panama. We combine instrument-based identification with a calibrated latent-factor measurement model to correct errors in parental education and occupation proxies, and we harmonize occupations using ISCO-08/ISEI augmented by local prestige scores for informality. Child outcomes are life-cycle-adjusted income and education ranks constructed with standardized age bands and PPP equivalence. We pre-specify mother-differential instruments (policy rollouts that plausibly affected women more than men), conduct measurement-invariance tests before pooling, and quantify maternal mechanisms via causal mediation and structural equation models. Main contributions are (1) credible, comparable estimates of maternal versus paternal rank transmission across five countries, (2) a reproducible pipeline for measurement-error correction and occupation harmonization in high-informality contexts, and (3) transparent bounds and sensitivity reporting when mother-specific identification is weak. Expected outcomes are policy-relevant estimates of maternal channels with clear uncertainty and validity diagnostics.</w:t>
      </w:r>
    </w:p>
    <w:p>
      <w:r>
        <w:t xml:space="preserve"> </w:t>
      </w:r>
    </w:p>
    <w:p>
      <w:pPr>
        <w:pStyle w:val="Heading2"/>
      </w:pPr>
      <w:r>
        <w:t>Methodology</w:t>
      </w:r>
    </w:p>
    <w:p>
      <w:r>
        <w:t>1) Data anchoring: identify household surveys and census waves per country and variable names for parental education, parental occupation, child education and earnings. 2) Rank construction: compute cohort-conditional and pooled ranks. Steps: harmonize income to PPP, equivalize household income, age-normalize earnings using pre-specified bands (e.g., 25–34, 35–44), handle zeros/negatives with offsets, topcode with Pareto tail imputation, assign average ranks for ties. (A pseudo-code will be implemented in code.) 3) Parental SES measurement: build a Bayesian latent-factor model that loads mother and father education and occupation onto separate indicators and produces mother-specific, father-specific, and joint SES scores. Explain: a latent factor is an unobserved variable estimated from multiple measured indicators. 4) Measurement-error correction: calibrate measurement error using sibling/twin subsamples or validation subsets to estimate reliability ratios; apply SIMEX (a simulation-based correction for measurement error) and Bayesian posterior adjustment; propagate uncertainty via bootstrapped or posterior intervals. 5) Occupation harmonization: map national occupation codes to ISCO-08 and attach ISEI; where informality is high, estimate a local latent-prestige score using assets, earnings, and education. 6) Identification: pre-register mother-differential instruments (e.g., female-targeted schooling laws, maternity-leave or childcare expansions, female-targeted CCT eligibility) with exclusion restrictions, monotonicity rationale, and placebo tests. 7) Estimation: estimate rank–rank slopes by OLS, measurement-error-corrected regressions, IV (Anderson-Rubin and weak-instrument robust where needed), sibling fixed effects, and report partial-R2 and first-stage F-statistics. 8) Mediation: estimate causal mediation effects and SEM for maternal channels (time-use, home-learning, maternal labor supply), and report mediation shares with sensitivity for unmeasured confounding. 9) Missing data: run MICE with convergence diagnostics and compare PMM and Bayesian imputations. 10) Pre-registration and reproducibility: pre-register primary estimands, rank choices, instrument list, power thresholds, and measurement-invariance tests; maintain a containerized codebase and harmonization log.</w:t>
      </w:r>
    </w:p>
    <w:p>
      <w:r>
        <w:t xml:space="preserve"> </w:t>
      </w:r>
    </w:p>
    <w:p>
      <w:pPr>
        <w:pStyle w:val="Heading2"/>
      </w:pPr>
      <w:r>
        <w:t>Experiments</w:t>
      </w:r>
    </w:p>
    <w:p>
      <w:r>
        <w:t>Datasets: Brazil PNAD/PNADC (selected waves), Chile CASEN, Mexico ENIGH and ENOE, Ecuador ENEMDU/ENSANUT (employment and household modules), Panama ENAHO. Define child birth cohorts in 5-year bands covering cohorts for which adult earnings are observed. Baselines: (A) OLS rank–rank using paternal and maternal observed education/occupation; (B) OLS conditional on the other parent's SES; (C) sibling fixed-effects rank regressions; (D) measurement-error-corrected latent-factor regressions; (E) IV regressions using pre-specified mother-differential instruments; (F) IV with weak-instrument robust inference. Evaluation metrics: child education rank slope, child income rank slope, standard errors, first-stage F-statistics, parent-specific partial-R2, reliability ratios for parental measures, mediation share (percentage of total effect explained), and minimum detectable effect (MDE). Experimental setup: harmonize and clean microdata; construct ranks and latent SES; run MICE imputations and record diagnostics; compute baseline OLS estimates; estimate Bayesian latent model and SIMEX-corrected estimates; run IV estimations with Anderson-Rubin confidence sets when F&lt;10; run sibling FE where sample permits. Ablation studies: (1) compare results with and without measurement-error correction; (2) compare ISCO-08/ISEI mapping versus latent-prestige mapping for occupations; (3) compare cohort-conditional ranks versus pooled ranks; (4) compare IV estimates using mother-differential instruments versus parent-indifferent instruments. Reporting: present country-specific tables and pooled meta-analytic summaries with heterogeneity statistics and sensitivity bands.</w:t>
      </w:r>
    </w:p>
    <w:p>
      <w:r>
        <w:t xml:space="preserve"> </w:t>
      </w:r>
    </w:p>
    <w:p>
      <w:pPr>
        <w:pStyle w:val="Heading2"/>
      </w:pPr>
      <w:r>
        <w:t>Risk Factors And Limitations</w:t>
      </w:r>
    </w:p>
    <w:p>
      <w:r>
        <w:t>1) Data availability and access: some waves or modules may be unavailable, reducing sample sizes and instrument coverage. 2) Weak or invalid instruments: mother-differential instruments may be weak or violate exclusion restrictions, yielding imprecise or biased IV estimates. 3) Remaining measurement error: latent models and SIMEX may not fully remove bias, especially if unobserved parental traits are correlated with outcomes. 4) Assortative mating and dynastic confounding: spousal sorting and intergenerational transmission of unobserved traits (including genetics) may bias maternal effect estimates; sibling data may be limited. 5) Informality misclassification: occupation crosswalks may misrepresent informal activities and subsistence work. 6) Sample-size limits and power: subgroups (by cohort, gender, single motherhood) may have low N, producing large MDEs. 7) Harmonization bias: mapping education credentials and occupations across countries may introduce non-random measurement differences. 8) Attrition and nonresponse: survey attrition can bias life-cycle earnings proxies. 9) External validity: results apply to the five studied countries and specific cohorts, and may not generalize to other settings or to causal channels not captured by available mediators. 10) Ethical/legal constraints: cross-border data sharing, sensitive variables, and anonymization requirements may limit reproducibility of original microdata.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