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ecb_climate_bank_eventstudy</w:t>
      </w:r>
    </w:p>
    <w:p>
      <w:r>
        <w:t xml:space="preserve"> </w:t>
      </w:r>
    </w:p>
    <w:p>
      <w:pPr>
        <w:pStyle w:val="Heading2"/>
      </w:pPr>
      <w:r>
        <w:t>Title</w:t>
      </w:r>
    </w:p>
    <w:p>
      <w:r>
        <w:t>Event-study analysis of ECB climate-related announcements and their effect on European banks' stock returns</w:t>
      </w:r>
    </w:p>
    <w:p>
      <w:r>
        <w:t xml:space="preserve"> </w:t>
      </w:r>
    </w:p>
    <w:p>
      <w:pPr>
        <w:pStyle w:val="Heading2"/>
      </w:pPr>
      <w:r>
        <w:t>Short Hypothesis</w:t>
      </w:r>
    </w:p>
    <w:p>
      <w:r>
        <w:t>ECB climate-related announcements cause measurable abnormal cumulative returns (CAR[-1,+1]) for European banks, and the sign and magnitude of those abnormal returns vary systematically with banks' carbon exposure and ECB supervisory status.</w:t>
      </w:r>
    </w:p>
    <w:p>
      <w:r>
        <w:t xml:space="preserve"> </w:t>
      </w:r>
    </w:p>
    <w:p>
      <w:pPr>
        <w:pStyle w:val="Heading2"/>
      </w:pPr>
      <w:r>
        <w:t>Related Work</w:t>
      </w:r>
    </w:p>
    <w:p>
      <w:r>
        <w:t>Prior studies apply event-study methods to central bank communications and climate policy news, reporting mixed abnormal-return results for banks. Existing approaches differ in surprise measurement (some use only price reactions, others use text sentiment), event timing (daily vs intraday), and benchmarks (simple market model vs multi-factor models). Common limitations are: weak or single-source surprise definitions, insufficient intraday timestamp precision, inadequate handling of overlapping events and cross-sectional dependence, limited power calculations for small samples or subgroups, and coarse or static carbon-exposure measures. These gaps leave questions about causal interpretation, subgroup heterogeneity (eurozone vs non-eurozone, ECB-supervised vs not), and the robustness of results to alternative timing, controls, and multiple-testing adjustments.</w:t>
      </w:r>
    </w:p>
    <w:p>
      <w:r>
        <w:t xml:space="preserve"> </w:t>
      </w:r>
    </w:p>
    <w:p>
      <w:pPr>
        <w:pStyle w:val="Heading2"/>
      </w:pPr>
      <w:r>
        <w:t>Abstract</w:t>
      </w:r>
    </w:p>
    <w:p>
      <w:r>
        <w:t>We study how ECB climate-related communications affect stock returns of listed European banks using an event-study framework. We define surprise as a composite of a market-implied intraday price shock and a text-derived intensity score from the ECB announcement; the primary estimand is pooled CAR[-1,+1] across five pre-specified ECB climate events. The main contribution is a preregistered, reproducible protocol that (1) uses intraday timing when available, (2) compares market-model and multi-factor benchmarks, (3) evaluates heterogeneity by carbon exposure and ECB supervision, and (4) reports power/MDE tables and multiple-testing corrected inference. Expected outcomes are precise estimates of immediate market reactions, systematic heterogeneity linked to banks' climate exposures and supervision, and a transparent assessment of which surprise components drive returns. Results will clarify whether ECB climate communications produce economically meaningful market responses and which bank groups are most sensitive.</w:t>
      </w:r>
    </w:p>
    <w:p>
      <w:r>
        <w:t xml:space="preserve"> </w:t>
      </w:r>
    </w:p>
    <w:p>
      <w:pPr>
        <w:pStyle w:val="Heading2"/>
      </w:pPr>
      <w:r>
        <w:t>Methodology</w:t>
      </w:r>
    </w:p>
    <w:p>
      <w:r>
        <w:t>1) Event identification: select five ECB climate-related announcements and record exact timestamps (timezone and channel). 2) Surprise measures: compute market_z = intraday/daily residual standardized by pre-event volatility (residual = observed return minus predicted by chosen factor model estimated on a 250-day window); compute text_z = NLP intensity score (weighted sum of sentiment polarity, climate-topic strength, and novelty measured by embeddings); build composite surprise = weighted sum of market_z and text_z with a pre-specified weight grid. Explain: 'residual' means the part of return not explained by factors; 'embeddings' are numeric text vectors that capture meaning. 3) Abnormal returns: estimate abnormal returns with the market model as baseline and FF3/Carhart as robustness. Primary window is CAR[-1,+1]. If announcement during trading use intraday window [−30min,+30min] (robustness [−5,+5]). 4) Carbon exposures: compile quarterly time-varying metrics (carbon intensity, share of loans to high-emission sectors, transition-risk score, green financing share) and lag by one quarter to avoid look-ahead. 5) Estimation and inference: pool CARs across events and banks, report equal- and value-weighted aggregates, use clustered/Driscoll–Kraay SEs and Benjamini–Hochberg FDR for multiple tests. 6) Identification checks: placebo dates, pre-trend tests, IV two-stage sensitivity using text_z as instrument for market_z with pre-registered diagnostics. 7) Reproducibility: preregister all thresholds and publish code and simulated data if raw vendors prevent sharing.</w:t>
      </w:r>
    </w:p>
    <w:p>
      <w:r>
        <w:t xml:space="preserve"> </w:t>
      </w:r>
    </w:p>
    <w:p>
      <w:pPr>
        <w:pStyle w:val="Heading2"/>
      </w:pPr>
      <w:r>
        <w:t>Experiments</w:t>
      </w:r>
    </w:p>
    <w:p>
      <w:r>
        <w:t>Datasets: panel of listed European banks (target N=120–180), intraday and daily price data from a tick vendor (e.g., Refinitiv or Bloomberg), factor returns (STOXX Europe 600 Banks, Fama-French 3, Carhart 4), corporate actions adjustments, and carbon/exposure data (MSCI/Trucost/CDP and bank disclosures) updated quarterly. Event file: five ECB climate announcement timestamps (to be pre-specified). Baselines: (A) no-treatment placebo, (B) market model, (C) Fama-French 3, (D) Carhart 4, (E) market_z only, (F) text_z only. Evaluation metrics: CAR[-1,+1] mean and median, t-statistics, p-values, FDR q-values, placebo rejection rates, minimum detectable effect (MDE) tables per subgroup, and first-stage F for IV. Experimental setup: estimation window 250 trading days ending 10 days pre-event; map after-hours announcements to next trading day if no intraday ticks; impose liquidity cutoff (pre-specified min ticks or volume threshold) for intraday inclusion. Ablation study: compare primary composite surprise to variants in the weight grid and to models excluding text_z; second ablation excludes events flagged by a co-occurring news intensity detector (algorithmic rule: event is flagged if aggregated news-intensity within ±5 days &gt;95th percentile). Heterogeneity tests: subgroup CARs for SSM vs non-SSM and eurozone vs non-eurozone, report MDE and power for each subgroup. Placebo tests: multiple pre-event windows (e.g., [-10,-8], [-5,-3]) and random non-ECB climate dates.</w:t>
      </w:r>
    </w:p>
    <w:p>
      <w:r>
        <w:t xml:space="preserve"> </w:t>
      </w:r>
    </w:p>
    <w:p>
      <w:pPr>
        <w:pStyle w:val="Heading2"/>
      </w:pPr>
      <w:r>
        <w:t>Risk Factors And Limitations</w:t>
      </w:r>
    </w:p>
    <w:p>
      <w:r>
        <w:t>1) Missing or sparse intraday ticks for many banks which prevents narrow-window intraday analysis and may bias results toward larger banks. 2) Thin trading and bid-ask bounce create noisy short-window returns and measurement error. 3) Carbon exposure metrics are incomplete, proprietary, and updated quarterly; interpolation introduces error and may misalign with intraday events. 4) Instrument validity risk: text_z may directly affect returns (violates exclusion restriction) so IV estimates may be biased. 5) Limited statistical power for single-event or small subgroup tests even with pooled events. 6) Cross-sectional dependence between banks (common exposures) complicates inference and may invalidate simple clustering if not handled correctly. 7) Co-occurring news on the same day can confound attribution to ECB announcements. 8) Data licensing may prevent sharing raw feeds, limiting reproducibility of price-level analyses. 9) Results may not generalize beyond listed European banks or beyond the selected ECB announcements.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