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eu_esif_tfp_spatiotemporal</w:t>
      </w:r>
    </w:p>
    <w:p>
      <w:r>
        <w:t xml:space="preserve"> </w:t>
      </w:r>
    </w:p>
    <w:p>
      <w:pPr>
        <w:pStyle w:val="Heading2"/>
      </w:pPr>
      <w:r>
        <w:t>Title</w:t>
      </w:r>
    </w:p>
    <w:p>
      <w:r>
        <w:t>Instrumental and spatial analysis of how European Structural and Investment Funds affect regional total factor productivity growth</w:t>
      </w:r>
    </w:p>
    <w:p>
      <w:r>
        <w:t xml:space="preserve"> </w:t>
      </w:r>
    </w:p>
    <w:p>
      <w:pPr>
        <w:pStyle w:val="Heading2"/>
      </w:pPr>
      <w:r>
        <w:t>Short Hypothesis</w:t>
      </w:r>
    </w:p>
    <w:p>
      <w:r>
        <w:t>Higher per-capita ESIF payments cause higher annual total factor productivity (TFP) growth in NUTS2 regions.</w:t>
      </w:r>
    </w:p>
    <w:p>
      <w:r>
        <w:t xml:space="preserve"> </w:t>
      </w:r>
    </w:p>
    <w:p>
      <w:pPr>
        <w:pStyle w:val="Heading2"/>
      </w:pPr>
      <w:r>
        <w:t>Related Work</w:t>
      </w:r>
    </w:p>
    <w:p>
      <w:r>
        <w:t>Prior empirical work on cohesion policy effects typically uses region fixed effects or shift-share (Bartik) instruments and sometimes eligibility or rule-based instruments to estimate fund impacts on regional outcomes. Spatial econometric methods have been used to detect spillovers but often without instrumenting spatial lags. Existing approaches face four recurring limitations: (1) weak instruments or instruments that ignore leave-one-out construction and base-share endogeneity, (2) insufficient modelling of heterogeneous capital accumulation across regions and sectors (notably agricultural biological capital), (3) limited propagation of uncertainty from TFP measurement into second-stage inference, and (4) poor finite-sample validation of spatial-IV strategies. Collinearity among multiple funds is frequently handled ad hoc, producing ambiguous attribution. This project builds on these methods but explicitly pre-registers leave-one-out shift-share and rule-based IVs, agricultural PIM, nested-bootstrap propagation of TFP uncertainty, spatial IVs, and Monte Carlo validation to address these gaps.</w:t>
      </w:r>
    </w:p>
    <w:p>
      <w:r>
        <w:t xml:space="preserve"> </w:t>
      </w:r>
    </w:p>
    <w:p>
      <w:pPr>
        <w:pStyle w:val="Heading2"/>
      </w:pPr>
      <w:r>
        <w:t>Abstract</w:t>
      </w:r>
    </w:p>
    <w:p>
      <w:r>
        <w:t>We study whether and how European Structural and Investment Funds (ESIFs) causally affect regional total factor productivity (TFP) growth across 262 NUTS2 regions from 2000 to 2019. We compute region-year TFP accounting for heterogeneous capital accumulation, including a tailored perpetual inventory method (PIM) for agricultural biological assets, and propagate TFP estimation uncertainty into inference via a nested bootstrap and Bayesian draws. Identification relies on leave-one-out shift-share instruments, rule‑predicted allocations based on program keys, and predicted‑neighbour spatial IVs to instrument both local treatment and spatial lags. We estimate static IVs with region fixed effects and country×year controls, dynamic specifications with limited-lag GMM, and an instrumental Spatial Durbin Model to decompose direct and indirect effects. We validate finite-sample behavior with Monte Carlo simulations calibrated to the panel, pre-register distributed-lag windows and fund-specific attribution rules, and report weak‑IV robust intervals where needed. The main contribution is a replication-ready, preregistered pipeline that yields more credible causal estimates of fund-specific and spatially propagated productivity effects, with clear diagnostics on instrument strength, measurement uncertainty, and attribution.</w:t>
      </w:r>
    </w:p>
    <w:p>
      <w:r>
        <w:t xml:space="preserve"> </w:t>
      </w:r>
    </w:p>
    <w:p>
      <w:pPr>
        <w:pStyle w:val="Heading2"/>
      </w:pPr>
      <w:r>
        <w:t>Methodology</w:t>
      </w:r>
    </w:p>
    <w:p>
      <w:r>
        <w:t>1) Data assembly: build a region-year panel (262 NUTS2, 2000–2019) with annual ESIF payments by fund (ERDF, ESF, CF, EAFRD), program metadata, project beneficiary NUTS2, and imputation flags. Add regional value added, employment, hours, and investment series from national accounts and EU KLEMS. Add farm accounts (FADN) for agricultural calibration and spatial geometry for W matrices. 2) TFP estimation: baseline Solow-residual TFP per region-year using value-added and input shares; alternatives are Levinsohn–Petrin (LP) and Ackerberg–Bontemps–Blundell (ABB). Technical term: Solow residual is output growth not explained by measured inputs. 3) Capital measurement: implement PIM for produced capital and a dedicated agricultural PIM for machinery, buildings, land-improvements and biological assets with vintage and maturation lags; choose depreciation bands pre-registered. 4) Treatment construction: compute annual ESIF exposure as payments (absorption) per capita and also construct commitments-annualised series; flag reprogramming and delayed payments. 5) Instruments: (a) leave-one-out shift-share: base shares (primary 2000, alternative 2005) times national/EU-year shocks computed excluding target region; (b) rule-predicted allocations: apply program priority weights and keys to EU-year budgets to predict regional shares; (c) spatial neighbour IVs: W times predicted allocations with leave-one-out. Explain leave-one-out: when computing shocks, exclude the target region so instrument is not mechanically correlated with its own treatment. 6) Estimators: (A) static IV with region FE and country×year FE, fund-by-fund primary; (B) dynamic distributed-lag model with limited lags and system-GMM for persistence; (C) Spatial Durbin Model (SDM) with IV for local ESIF and W-ESIF to estimate direct and indirect effects. 7) Attribution: run separate fund regressions, then sequential orthogonalisation (residualise each fund on others in a pre-specified order) and LASSO/regularised IV as robustness. 8) Inference and diagnostics: always report first-stage Staiger–Stock F, Kleibergen–Paap rk, partial R2 and concentration parameters; use AR/CLR and Conley plausible-bounds if weak or exclusion questionable. 9) Uncertainty propagation: nested bootstrap that re-estimates PIM and TFP in each draw and then runs second-stage IVs; supplement with Bayesian posterior draws for LP/ABB. 10) Validation: Monte Carlo simulations calibrated to empirical persistence, spatial rho and instrument strength; placebo permutation tests, lead/placebo outcome checks, and base-share endogeneity diagnostics.</w:t>
      </w:r>
    </w:p>
    <w:p>
      <w:r>
        <w:t xml:space="preserve"> </w:t>
      </w:r>
    </w:p>
    <w:p>
      <w:pPr>
        <w:pStyle w:val="Heading2"/>
      </w:pPr>
      <w:r>
        <w:t>Experiments</w:t>
      </w:r>
    </w:p>
    <w:p>
      <w:r>
        <w:t>Datasets: (1) ESIF project-level payments and commitments 2000–2019 with beneficiary NUTS2 and program keys; (2) EU KLEMS and national accounts for value added, capital, labour; (3) FADN/farm accounts for agricultural calibration; (4) shapefiles and commute/travel flows for W matrices. Baselines: A) OLS with region FE + country×year FE; B) OLS with region trends; C) IV using leave-one-out shift-share; D) IV using rule-predicted allocations; E) IV Spatial Durbin Model with predicted‑neighbour instruments. Panel setup: annual region-year, region FE, country×year FE, covariates = log population, lag investment rate, sector shares, linear trend. Estimation choices: clustering by region; if clusters &lt;30 use wild-cluster bootstrap. First-stage diagnostics: report Staiger–Stock F, Kleibergen–Paap rk, partial R2. Inference: AR/CLR where weak, Conley spatial HAC for spatial correlation. Pre-registered windows: programming periods (2000–2008, 2008–2014, 2014–2019) and distributed-lags 0–3, 4–6, 7–10. Nested-bootstrap: 1,000 draws re-estimating TFP and re-running second stage. Bayesian LP/ABB draws: 2,000 posterior draws. Monte Carlo validation: 1,000 iterations per scenario (vary instrument strength, spatial rho, persistence, misspecified W). Ablation studies: (i) nested-bootstrap vs no bootstrap (compare confidence intervals and point estimates), (ii) fund-by-fund regressions vs sequentially orthogonalised joint regressions (compare marginal effects), (iii) shift-share base 2000 vs 2005, (iv) exclude jointly-funded projects vs include. Evaluation metrics: estimated treatment coefficients (β) and 95% intervals, direct/indirect effect decomposition, first-stage F and partial R2, AR/CLR interval coverage, proportion of bootstrap draws with sign-consistent effect, MDE reported in %ΔTFP per €1000pc at 80% power, RMSE and bias in Monte Carlo.</w:t>
      </w:r>
    </w:p>
    <w:p>
      <w:r>
        <w:t xml:space="preserve"> </w:t>
      </w:r>
    </w:p>
    <w:p>
      <w:pPr>
        <w:pStyle w:val="Heading2"/>
      </w:pPr>
      <w:r>
        <w:t>Risk Factors And Limitations</w:t>
      </w:r>
    </w:p>
    <w:p>
      <w:r>
        <w:t>1) Weak or invalid instruments: shift-share or rule IVs may fail strength tests or violate exclusion if base shares correlate with prior growth or political targeting. 2) Base-share endogeneity: historical shares may reflect past shocks, biasing instruments. 3) Measurement error in ESIF flows: misallocation, missing beneficiary NUTS2, and imputation can bias estimates. 4) TFP measurement uncertainty: Solow residual and structural TFP estimators depend on input measurement and PIM choices; nested-bootstrap increases compute demand. 5) Agricultural capital complexity: biological asset modelling requires assumptions (depreciation and maturation) that may be uncertain. 6) Spatial model misspecification: incorrect W matrix or unmodelled cross-border policies can bias spillover estimates. 7) Limited power: effects may be small relative to residual variance, especially after instrumenting and splitting by fund or period. 8) Dynamic panel instrument proliferation: system-GMM may overfit with many instruments, weakening inference. 9) Data confidentiality or licensing: project-level data may have restrictions preventing full replication. 10) Compute and time: nested bootstrap and Monte Carlo calibrated to N=262,T≈20 are computationally intensive and require substantial runtime and memory.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