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true_pricing_label_rct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randomized controlled online experiment testing how absolute, relative, and combined true-pricing labels affect consumer food choice in the Netherlands and Denmark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Providing absolute or combined monetary true-price labels at the point of sale increases the probability that a consumer selects the lower-externality food product compared to no label.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studies show that sustainability and true-price labels can shift consumer choices and increase willingness to pay for organic or lower-impact foods. Existing approaches include monetary labels, percent-reduction displays, and icon-based cues. Limitations in current work are small or single-country samples, inconsistent label formats, limited testing of how uncertainty in life-cycle assessment (LCA) valuations should be displayed, weak external-validity checks against real purchases, and few pre-registered weighting or selection-correction procedures. There is no consensus on whether absolute (money) or relative (percent) formats perform best, how combined formats behave, or how presentation interacts with consumer numeracy, income, and attention.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examines how different presentations of 'true price'—which internalizes environmental and other external costs into product prices—affect consumer choice. We run a preregistered randomized controlled online experiment (N=1,400; Netherlands and Denmark) that compares no label (control) to three label formats: absolute monetary external-cost per serving, relative percent external-cost, and a combined money+percent display. True-price values are produced by an LCA-to-monetization pipeline and their uncertainty is propagated with Monte Carlo sampling. We implement a two-step weighting strategy (inverse-probability weights plus raking) and a validation subsample linked to loyalty/scanner or receipt data. The main contribution is a rigorously pre-specified pipeline connecting LCA uncertainty, label display rules, sampling correction, and mixed-effects causal inference to evaluate behavioral and welfare effects. Expected outcomes are clear estimates of format effects on lower-externality choice, diagnostics of external validity, and documented procedures for label decision rules and disclosure.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LCA monetization: compute per-serving external-costs (climate, air pollution, water, land/biodiversity, packaging) using standard LCA inventories (ecoinvent/Agri-Footprint) and published damage-cost values. 2) Uncertainty propagation: run 10,000 Monte Carlo draws per product; Monte Carlo means repeated random sampling of uncertain inputs to build a distribution of possible external-cost outcomes. Store medians and 5th–95th percentiles. 3) Label generation: create three treatments: absolute monetary label (e.g., "External cost: €0.50 per serving"), relative percent label (e.g., "External cost: 5% of price"), and combined money+percent. Pre-specify decision rules for showing a single point vs a range based on coefficient of variation (CV) and interval width. 4) Sampling and weighting: recruit n=1,400 online with stratified randomization by country×income×retail-format; collect paradata (device, completion time, loyalty-card use). Build inverse-probability weights (IPW) from a logistic and GBM selection model, then rake weights to national benchmarks (age, gender, region, education, income band, grocery expenditure, category shares). 5) Validation subsample: opt-in n≈500 for privacy-preserving linkage to loyalty/scanner or receipt uploads. 6) Analysis model: mixed-effects logistic regression (a statistical model that predicts a binary choice outcome while accounting for repeated observations) with random intercepts for respondent and product; report marginal effects and odds ratios for pre-specified contrasts. 7) Pre-registration: register contrast matrix, trimming rules, seeds, and full diagnostics before data collection.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primary online panel: N=1,400 (700 NL, 700 DK), stratified by country×income tercile×primary retail format; validation subsample: n≈500 consenting to link purchases. Product set: 8 representative food items across categories (e.g., fresh milk, chicken, bread, apples, cheese, bananas, eggs, cereal) with multiple product alternatives per item varying in price and external-costs. Arms and baselines: Control (no label), Absolute (monetary per serving), Relative (percent of price), Combined (money+percent). Ablations: (A) display vs display+uncertainty modal, (B) point-estimate-only vs point+range, (C) weighting methods: demographics-only raking vs IPW+calibration, (D) selection-model: logistic vs GBM. Primary metric: binary indicator that respondent selects the lower-externality product in a forced-choice task. Secondary metrics: share of simulated budget spent on lower-externality options (continuous), stated WTP (Becker–DeGroot–Marschak elicitation), comprehension score (binary pass), time per task, and correlation between survey choices and revealed purchases in validation subsample (Pearson r). Experimental setup: randomize participants to one arm, show 6–8 forced-choice tasks per participant with randomized product order, task-order recorded for learning tests. Analysis: pre-specified mixed-effects logistic model: choice_lower ~ treatment_dummies + country + age + gender + education + baseline_price_sensitivity + (1|respondent) + (1|product). Primary contrasts: C1 Abs vs Ctrl = [-1,1,0,0]; C2 Rel vs Ctrl = [-1,0,1,0]; C3 Comb vs Ctrl = [-1,0,0,1]. Multiplicity: Holm adjustment across C1–C3. Power: simulation-based power aiming for 80% power to detect a 6 percentage-point absolute change per primary contrast. Report robustness: IPW vs unweighted, logistic vs GBM selection model, trimming caps at 5,10,20.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Selection bias: online panel participants may differ from the general population and linkage consent may be non-random. Hypothetical bias: stated choices/WTP may not match real purchases. LCA uncertainty: large uncertainty or sign ambiguity in monetized externalities may make labels inconclusive. Correlation assumptions: inter-impact correlation priors may be misspecified, altering ranges and rank ordering. Legal/regulatory risk: label wording could trigger consumer-protection rules. Pilot power limits: small store-level pilots may be underpowered for heterogeneity. Data licensing: LCA databases and commercial scanner data may have access or cost restrictions. Compute cost: 10,000 Monte Carlo draws across many products increases compute time. Generalization: results from NL/DK may not generalize to other countries or product classes.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