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markup_product_differentiation_airlines</w:t>
      </w:r>
    </w:p>
    <w:p>
      <w:r>
        <w:t xml:space="preserve"> </w:t>
      </w:r>
    </w:p>
    <w:p>
      <w:pPr>
        <w:pStyle w:val="Heading2"/>
      </w:pPr>
      <w:r>
        <w:t>Title</w:t>
      </w:r>
    </w:p>
    <w:p>
      <w:r>
        <w:t>A Lovell-based markup decomposition that integrates monetized product differentiation to analyze profitability dynamics in the U.S. airline industry</w:t>
      </w:r>
    </w:p>
    <w:p>
      <w:r>
        <w:t xml:space="preserve"> </w:t>
      </w:r>
    </w:p>
    <w:p>
      <w:pPr>
        <w:pStyle w:val="Heading2"/>
      </w:pPr>
      <w:r>
        <w:t>Short Hypothesis</w:t>
      </w:r>
    </w:p>
    <w:p>
      <w:r>
        <w:t>Exogenous increases in monetized product differentiation (route-level WTP-weighted attributes) cause higher firm-level markups conditional on marginal-cost controls.</w:t>
      </w:r>
    </w:p>
    <w:p>
      <w:r>
        <w:t xml:space="preserve"> </w:t>
      </w:r>
    </w:p>
    <w:p>
      <w:pPr>
        <w:pStyle w:val="Heading2"/>
      </w:pPr>
      <w:r>
        <w:t>Related Work</w:t>
      </w:r>
    </w:p>
    <w:p>
      <w:r>
        <w:t>Existing work documents rising airline markups and uses demand estimation (hedonic and discrete-choice) and revenue/cost frontier methods to study pricing and profitability. Common approaches estimate demand WTPs via discrete-choice (mixed-logit) or hedonic regressions and estimate revenue or cost functions using parametric (translog, Cobb–Douglas) or nonparametric frontiers; some derive marginal revenue from inverse demand. Limitations remain: (1) few studies integrate monetized product differentiation (WTPs×attributes) directly into a formal markup-decomposition, (2) cost and marginal-cost construction is often coarse or inconsistent across firms, (3) instrument strategies for price/quantity/attribute endogeneity are fragile or under-documented, (4) uncertainty propagation across demand→WTP→revenue/cost→decomposition pipelines is often incomplete, and (5) dynamic and anticipation effects for attribute changes (fleet/slots/rollouts) are under-addressed. These gaps limit causal attribution of product differentiation to markup dynamics.</w:t>
      </w:r>
    </w:p>
    <w:p>
      <w:r>
        <w:t xml:space="preserve"> </w:t>
      </w:r>
    </w:p>
    <w:p>
      <w:pPr>
        <w:pStyle w:val="Heading2"/>
      </w:pPr>
      <w:r>
        <w:t>Abstract</w:t>
      </w:r>
    </w:p>
    <w:p>
      <w:r>
        <w:t>We propose a reproducible, Lovell-style decomposition that isolates how changes in product differentiation, price frontier parameters, output mix, and input costs drive markup dynamics in the U.S. airline industry. We monetize product differentiation by converting mixed-logit willingness-to-pay (WTP) estimates for route-level attributes (frequency, nonstop share, cabin mix, amenities) into a dollar-valued quality index Q, and we integrate Q into a revenue-frontier/marginal-revenue (MR) calculation. Marginal cost (MC) is estimated from parametric and activity-based cost functions, with three pre-registered MC variants. Identification of endogenous price/quantity/attribute changes uses supply-shift instruments (fleet deliveries, slot availability, rival withdrawals, distance×fuel) with pre-specified diagnostics and weak-IV robust inference. We propagate uncertainty end-to-end using a nested, cluster-aware bootstrap that re-estimates demand, Q, revenue/cost, and the decomposition; we allocate interaction effects with Shapley shares. Applying the method to U.S. carrier panels (pilot then full sample) yields estimates of the share of markup changes attributable to product differentiation versus frontier changes, with robust CIs and power diagnostics. The contribution is a transparent, testable protocol linking consumer value for attributes to firm-level profitability changes.</w:t>
      </w:r>
    </w:p>
    <w:p>
      <w:r>
        <w:t xml:space="preserve"> </w:t>
      </w:r>
    </w:p>
    <w:p>
      <w:pPr>
        <w:pStyle w:val="Heading2"/>
      </w:pPr>
      <w:r>
        <w:t>Methodology</w:t>
      </w:r>
    </w:p>
    <w:p>
      <w:r>
        <w:t>1. Data cleaning and price measures: produce route×carrier×period panels from DB1B fares (flag sampled vs imputed), T-100 revenue/traffic, schedules (frequency/nonstop), fleet and slot data, carrier financials, fuel and wage series. Alternate price measures: fare-per-mile, yield (revenue per RPM), and T-100 revenue share. 2. Demand estimation and WTPs: estimate mixed-logit (random coefficients) at the O&amp;D or route level to recover mean and SD of coefficients. Explain: "WTP" means willingness to pay, the money value consumers place on an attribute; mixed-logit is a model that allows different consumers to value attributes differently. Use 200–500 quasi-random draws with fixed seeds for reproducibility. Compute route-level WTPs as WTP_k = -β_k/β_price; report heterogeneity. 3. Construct monetized quality Q: for each route, compute Q_route = Σ_k WTP_k · X_k (X_k are attribute levels); aggregate to firm-year by passenger weights to get Q_it. Also compute variance of Q from WTP uncertainty. 4. Revenue frontier and MR: choose and compare explicit functional forms: (A) translog revenue function in q and Q; (B) Cobb–Douglas; (C) semi-parametric penalized-spline; (D) MR derived from inverse-demand implied by mixed-logit where closed form exists. Define MR formula analytically where possible; where not, compute numerical derivative (finite differences) with pre-specified step size (e.g., 0.1% of sample mean q). Explain: "MR" (marginal revenue) is the extra revenue from selling one more unit. 5. Cost function and MC: estimate parametric cost function C(q,Z) (e.g., translog or separable variable cost) and compute MC = ∂C/∂q. Also construct activity-based MC variants: (A) variable route costs by block-hours/ASM; (B) activity-based + allocated overheads by ASM or passenger-miles; (C) accounting-adjusted with ASC 842 lease capitalization and hedge-neutralization. 6. Identification and IVs: instrument endogenous q/price/attributes with fleet deliveries, slot availability, rival withdrawals, and distance×fuel interactions. Pre-specify first-stage equations, report partial R2 and Kleibergen–Paap or F-statistics, and run placebo leads and balance tests. 7. Elasticity expansion and decomposition: compute elasticity contributions to Δ ln MR and Δ ln MC from parameter and variable changes, evaluate at sample means, and allocate interaction/residual terms using Shapley value approximation (sample permutations). 8. Inference: implement nested bootstrap that re-samples route clusters, and in each draw re-estimates demand→WTP→Q→revenue/cost→decomposition. Re-draw demand random coefficients (fixed seed for reproducibility), re-fit IV first-stages and frontier estimates, and compute decomposition shares. Use weak-IV robust AR/CLR intervals in parallel; present union of intervals when they differ. 9. Reproducibility: containerize code, include fixed seeds, provide a small synthetic dataset and unit tests for each module (demand, Q construction, revenue/cost, decomposition, bootstrap).</w:t>
      </w:r>
    </w:p>
    <w:p>
      <w:r>
        <w:t xml:space="preserve"> </w:t>
      </w:r>
    </w:p>
    <w:p>
      <w:pPr>
        <w:pStyle w:val="Heading2"/>
      </w:pPr>
      <w:r>
        <w:t>Experiments</w:t>
      </w:r>
    </w:p>
    <w:p>
      <w:r>
        <w:t>Datasets: primary: DB1B fare-level panel, T-100 carrier-route revenue/traffic, OAG or Cirium schedules (frequency, nonstop), DOT slot and fleet delivery records, carrier annual reports, Bureau of Labor Statistics wages, national fuel price series. Sample splits: pilot (5 carriers × 5 years), full (≈20 carriers × 20 years). Baselines: (1) translog revenue/cost frontier with IVs; (2) Cobb–Douglas parametric specification; (3) penalized-spline semi-parametric frontier; (4) stochastic frontier analysis (SFA) as alternative for frontier. Evaluation metrics: decomposition shares (percent contribution of product differentiation, frontier coefficients, output, and input costs to Δ ln μ), RMSE of out-of-sample predicted markups, bootstrap CI coverage (nominal 90%/95%), first-stage diagnostics (partial R2, F or Kleibergen–Paap rk F), weak-IV robust interval widths, and power/bias in Monte Carlo. Experimental setup: (A) Run baseline pipeline on pilot sample: clean DB1B, estimate mixed-logit WTPs, construct Q_it, estimate IV revenue and cost frontiers, compute MR and MC, compute decomposition, run nested bootstrap with 1,000 route-cluster draws. (B) Ablation studies: remove monetized Q from revenue (set Q=0) to measure change in decomposition; replace monetized Q with simple attribute counts; compare Shapley allocation vs sequential (order-dependent) allocation. (C) Sensitivity studies: compare MC variants A/B/C; compare price measures (DB1B fare, fare-per-mile, yield, T-100 share); compare instrument sets (full vs restricted to best-performing instruments). (D) Model selection: 5-fold cross-validation for frontier selection using out-of-sample markup RMSE. (E) Monte Carlo: simulate panels varying instrument strength (partial R2=0.01,0.05,0.15), fare measurement error (σ=0,0.1,0.2 of fare), and cluster counts; report bias and power for decomposition shares. Reporting thresholds: emphasize first-stage F&gt;10 as minimum, &gt;16 preferred; report all weak-IV robust intervals.</w:t>
      </w:r>
    </w:p>
    <w:p>
      <w:r>
        <w:t xml:space="preserve"> </w:t>
      </w:r>
    </w:p>
    <w:p>
      <w:pPr>
        <w:pStyle w:val="Heading2"/>
      </w:pPr>
      <w:r>
        <w:t>Risk Factors And Limitations</w:t>
      </w:r>
    </w:p>
    <w:p>
      <w:r>
        <w:t>1. Instrument validity and anticipation: fleet deliveries and slot changes can be timed to demand, violating exclusion; placebo and lead tests may have limited power. 2. Measurement error: DB1B imputed fares and attribute misreporting bias WTPs and Q; SIMEX may not fully recover true values. 3. Endogeneity dynamics: attribute updates (frequency, cabin mix) are strategic and anticipated; static IV/control-function corrections may be insufficient. 4. Cost measurement uncertainty: route-level MC allocation and overhead apportionment are sensitive to allocation rules and accounting adjustments. 5. Weak instruments and power: some instruments may be weak for specific route×carrier cells, yielding wide AR/CLR intervals and low power. 6. Nested-bootstrap compute cost: re-estimating mixed-logit plus IV frontiers in 1,000 reps is computationally heavy and may be infeasible without parallel/cloud resources. 7. Cluster and small-sample inference: few independent clusters (routes or firms) reduce reliability of clustered inference and bootstrap coverage. 8. Shapley approximation variability: sampling-based Shapley estimates can be noisy and sensitive to component set choice. 9. Generalization limits: results pertain to U.S. carriers and historical two-decade dynamics and may not generalize to other transport markets. 10. Residual model specification risk: choice of frontier functional form and numerical derivative step sizes can materially change MR estimates and thus decomposition results.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