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virtue_structures_crt</w:t>
      </w:r>
    </w:p>
    <w:p>
      <w:r>
        <w:t xml:space="preserve"> </w:t>
      </w:r>
    </w:p>
    <w:p>
      <w:pPr>
        <w:pStyle w:val="Heading2"/>
      </w:pPr>
      <w:r>
        <w:t>Title</w:t>
      </w:r>
    </w:p>
    <w:p>
      <w:r>
        <w:t>Cluster-randomized trial with mixed-methods calibration to test whether individual epistemic virtues causally increase lab-level adoption of corrective scientific practices</w:t>
      </w:r>
    </w:p>
    <w:p>
      <w:r>
        <w:t xml:space="preserve"> </w:t>
      </w:r>
    </w:p>
    <w:p>
      <w:pPr>
        <w:pStyle w:val="Heading2"/>
      </w:pPr>
      <w:r>
        <w:t>Short Hypothesis</w:t>
      </w:r>
    </w:p>
    <w:p>
      <w:r>
        <w:t>Raising individual epistemic virtue prevalence in research labs causes an increase of at least 10 percentage points in the lab-level proportion of empirical outputs using corrective practices (pre-registration before data collection, public data+code, or formal correction within 12 months) relative to control labs.</w:t>
      </w:r>
    </w:p>
    <w:p>
      <w:r>
        <w:t xml:space="preserve"> </w:t>
      </w:r>
    </w:p>
    <w:p>
      <w:pPr>
        <w:pStyle w:val="Heading2"/>
      </w:pPr>
      <w:r>
        <w:t>Related Work</w:t>
      </w:r>
    </w:p>
    <w:p>
      <w:r>
        <w:t>Existing approaches divide into (a) structural/incentive explanations that attribute scientific reliability to rewards, norms, and division of cognitive labor, and (b) measurement and intervention studies in meta-research that document transparency trends (pre-registration, open data) and the credibility crisis using observational harvests (replication projects, Retraction Watch, OSF). Computational work includes agent-based models that show how norms and incentives can produce collective patterns. Psychometric work provides SJTs and self-report scales to measure dispositions, and behavioral/archival markers (preprints, code deposits) are used as proxies for practice. Limitations: structural accounts rarely provide causal tests separating individual motives from incentive effects; measurement studies often conflate competence and disposition and lack multi-method validation; ABMs are poorly calibrated to multiple empirical benchmarks and face identifiability problems; experimental evidence on whether virtue-targeted interventions change durable lab outcomes is scarce; and governance/harvesting noise and cross-discipline heterogeneity remain under-addressed.</w:t>
      </w:r>
    </w:p>
    <w:p>
      <w:r>
        <w:t xml:space="preserve"> </w:t>
      </w:r>
    </w:p>
    <w:p>
      <w:pPr>
        <w:pStyle w:val="Heading2"/>
      </w:pPr>
      <w:r>
        <w:t>Abstract</w:t>
      </w:r>
    </w:p>
    <w:p>
      <w:r>
        <w:t>Science reliability is commonly explained by institutional incentives or by the personal dispositions of scientists. This project tests whether individual epistemic virtues (honesty, diligence, intellectual humility, openness, fairness) are necessary causes of collective scientific reliability beyond incentive structures. We combine a cluster-randomized trial (CRT) at the lab level, a multi-method measurement program (situational judgment tests, peer ratings, archival behavioral anchors), calibrated agent-based models (ABMs), and embedded qualitative process-tracing. The primary outcome is the lab-level share of outputs in 12 months that meet corrective-practice criteria (pre-registration before data collection, public data+code, or formal correction). We pre-register psychometric validation (IRT, multitrait–multimethod), a 2×2 SJT validation experiment, and mediation tests (virtue → trust network density → corrective practice). ABMs are calibrated with ABC-SMC to replication, pre-registration, and correction time series. The main contribution is a transparent, falsifiable test of whether improving individual virtues yields causal improvements in lab-level reliability and under which structural regimes virtues are necessary vs. redundant.</w:t>
      </w:r>
    </w:p>
    <w:p>
      <w:r>
        <w:t xml:space="preserve"> </w:t>
      </w:r>
    </w:p>
    <w:p>
      <w:pPr>
        <w:pStyle w:val="Heading2"/>
      </w:pPr>
      <w:r>
        <w:t>Methodology</w:t>
      </w:r>
    </w:p>
    <w:p>
      <w:r>
        <w:t>1) Define and operationalize virtues: produce short, falsifiable definitions for honesty, diligence, intellectual humility, openness, and fairness. Each definition pairs (a) a motivation statement and (b) a behavioral threshold (example: honesty = motivation not to deceive; threshold = refusal to falsify data and documented correction initiation). 2) Measure virtues: build a battery with (a) adapted self-report items, (b) forced-choice and bogus items to catch faking, (c) SJTs presenting real-world dilemmas, (d) peer/supervisor ratings controlling for competence, and (e) archival anchors (pre-registration timestamps, data/code deposits, errata). SJTs are short scenario tests where participants choose actions under pressure; IRT (item response theory) will score SJTs and detect item bias. 3) Pilot validation: run a pilot (≈200 participants across ≈10 labs) to estimate psychometrics (IRT, CFA/MGCFA for cross-discipline invariance), response-time flags, and baseline ICCs. 4) Cluster-RCT: randomize labs to three arms: virtue-training intervention, incentive-only control (training about incentives/rewards), and passive control. Unit of randomization is lab; primary outcome is lab proportion of outputs meeting corrective-practice criteria at 12 months. Estimate ITT with multilevel mixed-effects models; use random-assignment as instrument for CACE via 2SLS if noncompliance occurs. 5) SJT validation experiment: preregister a 2×2 design (career-stakes high/low × vignette ambiguity high/low) with concurrent competence tasks to show SJTs predict motive-driven choices above competence. 6) Archival harvesting: implement deterministic-matching algorithms to harvest OSF/GitHub/journal metadata for pre-registration and code/data links; manually validate a random 10% to estimate error rates. 7) ABM calibration: build agent-based model where agents have virtue vectors and competence, simulate behaviors (rigor vs QRP, transparency, replication), and calibrate via ABC-SMC (Approximate Bayesian Computation with Sequential Monte Carlo) to observed replication rates, pre-registration trajectories, and correction-lag distributions. 8) Qualitative process tracing: embed ethnographic cases in 4 pilot sites to trace mechanism sequences (individual virtue action → local practice change → diffusion → policy change). 9) Pre-specify mediation analyses: multilevel mediation testing virtue → trust-network density → lab-level outcome; define empirical criteria that would falsify necessity (e.g., structural reforms produce full effect without virtue change). 10) Ethics and governance: co-design consent, legal review for whistleblower protection, encrypted reporting channels, and an independent oversight board. 11) Pre-registration: publish analysis plans, measurement instruments, and ABM calibration targets prior to data collection.</w:t>
      </w:r>
    </w:p>
    <w:p>
      <w:r>
        <w:t xml:space="preserve"> </w:t>
      </w:r>
    </w:p>
    <w:p>
      <w:pPr>
        <w:pStyle w:val="Heading2"/>
      </w:pPr>
      <w:r>
        <w:t>Experiments</w:t>
      </w:r>
    </w:p>
    <w:p>
      <w:r>
        <w:t>1) Pilot psychometric study: dataset = convenience sample n≈200 from ≈10 labs across disciplines. Baselines = none (validation only). Metrics = IRT item parameters, Cronbach alpha, CFA/MGCFA invariance, response-time distributions, correlation of virtue scores with archival anchors. Setup = online battery, SJTs, peer-ratings; manual validation of 10% archival links. 2) SJT validation experiment: dataset = pilot sample or expanded n≈400; design = 2×2 (career-stakes: high/low × vignette ambiguity: high/low). Baselines = competence-only prediction. Metrics = effect size d for incentive×ambiguity on SJT choices controlling for competence, AUC improvement of predictive models, incremental R². Setup = randomized vignette assignment, independent competence tasks, IRT scoring. 3) Cluster-RCT main test: units = research labs randomized to virtue-training, incentive-training, or passive control. Datasets = primary harvest from OSF/GitHub/journal metadata; baseline covariates from surveys and archival history. Baselines = incentive-training arm and passive control. Metrics = primary: lab-level proportion of outputs meeting corrective-practice criteria at 12 months (aggregate from harvested metadata). Secondary: replication initiation rate, correction/erratum frequency and lag, open-data/code rate, trust-network density (from coauthorship/peer-report). Analysis = ITT estimated via multilevel mixed-effects linear probability model (random intercepts for labs), adjust for baseline covariates. Noncompliance = estimate CACE with 2SLS using random assignment instrument. Sensitivity = E-values, placebo windows, Lee bounds for attrition. Power/setup = assume ICC 0.03–0.08, target MDE = +10 percentage points; approximate required sample ≈40 clusters per arm with 6–10 individuals per cluster (~720 participants) for 80% power; run pilot ICC to refine. 4) ABM experiments (simulation-only): datasets = calibrated benchmarks (Many Labs/OSC replication rates, Retraction Watch correction-lag series, OSF adoption trajectories). Baselines = invisible-hand model (no stable virtues). Treatments = virtue-inclusive model, virtue training, structural reforms, staggered adoption. Metrics = simulated lab-level primary outcome, reproducibility rate, tipping points where virtue prevalence change yields &gt;+10 ppt in outcome. Calibration = ABC-SMC; identifiability diagnostics = parameter-recovery tests, Sobol sensitivity. 5) Ablation: remove SJTs or archival anchors from the composite virtue score and re-run mediation and CRT analyses to test incremental validity. Compare effect estimates and model fit (AIC/BIC, cross-validated prediction).</w:t>
      </w:r>
    </w:p>
    <w:p>
      <w:r>
        <w:t xml:space="preserve"> </w:t>
      </w:r>
    </w:p>
    <w:p>
      <w:pPr>
        <w:pStyle w:val="Heading2"/>
      </w:pPr>
      <w:r>
        <w:t>Risk Factors And Limitations</w:t>
      </w:r>
    </w:p>
    <w:p>
      <w:r>
        <w:t>1) Measurement confounding: virtue scores may still correlate with unobserved competence or selection into labs, biasing causal inference. 2) Social-desirability and demand effects: SJTs and self-reports may be faked despite controls. 3) Noncompliance and attrition: labs or individuals may not engage with interventions, reducing power and complicating causal estimates. 4) Harvesting noise: automated matching of OSF/GitHub/journal metadata may produce false positives/negatives; manual validation is costly. 5) ABM identifiability: multiple parameter sets may reproduce benchmarks, limiting strong policy claims. 6) External validity: results may not generalize across disciplines with different incentive regimes or sizes. 7) Legal and ethical constraints: whistleblower protections vary by jurisdiction and may limit data collection or reporting. 8) Resource limits: cluster RCTs and ethnographies require substantial funds and time; pilots may under-estimate ICCs leading to underpowered main trials. 9) Scalability: intensive measurements (peer ratings, SJTs, manual archival checks) are labor-intensive and may not scale widely. 10) Causal ambiguity: even with mediation tests, fully proving necessity (versus sufficiency or complementarity with structure) may remain unresolved if interventions produce modest or heterogeneous effects.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