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women_founders_gvc_germany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Fuzzy-set configurational analysis of gendered visibility practices among women tech founders in Germany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Gendered Visibility Capital (GVC) targeted at investors causes greater total fundraising for women tech founders within 12 months, controlling for sector and lifecycle stage.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Research on gender and entrepreneurship has examined how visibility, reputation, and networks affect founders' outcomes. Existing approaches fall into three groups: large-scale quantitative studies that measure gender gaps using funding and hiring data but lack fine-grained measures of visibility practices; qualitative studies that document how women perform gender and manage impressions in startup settings but are hard to compare across cases; and methodological work applying configurational methods (like Qualitative Comparative Analysis) to organizational phenomena, usually without detailed, multi-audience visibility measures. Limitations: (1) most quantitative work uses single indicators (e.g., founder gender, total funding) that miss targeted visibility tactics; (2) qualitative work lacks standardized indicators that enable cross-case pattern-finding; (3) few studies triangulate self-reported visibility practices with external indicators (press mentions, investor intros); (4) configurational studies often lack validated, pilot-tested calibrations for social signaling constructs; (5) little prior work focuses on Germany's regional ecosystem variation or bilingual coding challenges.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and how women tech founders in Germany actively construct audience-specific visibility and whether those strategies reproduce, restructure, or undo gendered norms. We introduce Gendered Visibility Capital (GVC) as a measurable construct with four components—legitimacy signals, network access, symbolic recognition, and reputational risk exposure—and operationalize it with discrete indicators and an initial rubric. Data come from 25–35 in-depth interviews, 12–15 participant diaries over 8–12 weeks, a 6–8 case comparator sample, and automated external indicators (funding records, press mentions, accelerator announcements). We apply fuzzy-set Qualitative Comparative Analysis (fsQCA) to identify configurations of audience-specific visibility practices associated with predefined firm outcomes (fundraising, time-to-first-round, hiring growth). We complement fsQCA with sequence analysis for timing and mixed-method regression for associations. Main contributions: a validated, multi-audience GVC measurement, preregistered fsQCA calibration for small-N research, and empirical evidence on the causal plausibility of visibility strategies for women founders. Expected impact: improved policy and ecosystem guidance on visibility practices that influence startup success.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Measure Gendered Visibility Capital (GVC) per founder, triangulate interview/diary codes with external indicators, and analyze configurations that link GVC patterns to firm outcomes using fsQCA plus supplementary analyses. Steps: 1) Define indicators: four components with concrete items. Legitimacy signals = counts of credentials, patents, formal speaking slots (explain: speaking slots = invited talks at conferences). Network access = number and tier of investor introductions and board/advisor ties. Symbolic recognition = press mentions weighted by outlet reach, awards, social-media amplification. Reputational risk exposure = coded incidents of stereotype activation or public backlash. 2) Scoring and calibration: for each indicator create ordinal categories, standardize component scores to 0–100, then calibrate to fuzzy anchors 0.20 (low/fully out), 0.50 (crossover), 0.85 (high/fully in). Use linear interpolation for roughly even distributions and a logistic transform (a curve-based scaling that compresses extremes) if an indicator is strongly skewed. 3) Pilot and validation: pilot rubric on 4–6 cases; compute Spearman correlations between GVC components and external indicators (press counts, Crunchbase funding events); adjust anchors if concordance is poor. 4) Fieldwork: conduct 25–35 interviews (60–90 min each) in German or English; collect weekly diaries (5–10 minutes) from 12–15 founders for 8–12 weeks; gather external feeds (Crunchbase/PitchBook for funding, GDELT/Google News for press, accelerator pages). 5) Coding: native-language coders use a bilingual codebook in NVivo; double-code 20–25% of transcripts; back-translate 10–15% of transcripts; target intercoder reliability ≥0.70 (Krippendorff's alpha). 6) Analysis: calibrate fuzzy-set conditions from GVC components and outcomes, run fsQCA to find configurations associated with outcome states, run sequence analysis to examine timing of visibility shifts around funding events (explain: sequence analysis = studying the order of events to find patterns), and run mixed-method regressions to estimate associations while controlling for sector, region, and lifecycle. 7) Robustness: preregister anchor ±0.10 sensitivity, weight-variation tests (±25%), truth-table frequency threshold set at minimum 2 cases for configuration inclusion, bootstrapped consistency checks, and Monte Carlo permutations for stability.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Primary interviews: N = 25–35 women tech founders (audio transcripts, bilingual). (2) Diaries: N = 12–15 founders, weekly entries over 8–12 weeks. (3) Comparator: 6–8 matched founders (male-only or mixed—decide by availability) matched exactly on sector and region and by propensity score for size/funding stage (caliper=0.2 SD). (4) External indicators: Crunchbase/PitchBook funding records, GDELT/Google News press mentions, accelerator press pages, LinkedIn hiring signals if API-authorized, and documented investor introductions when available. Baselines: A = external-indicators-only model (no interview coding), B = single-audience GVC (investor-targeted only), C = quantitative regression-only model using composite external indicators. Evaluation metrics: fsQCA solution coverage (proportion of outcome explained) and consistency (measure of set-theoretic fit); Spearman rho between rubric scores and external indicators; adjusted R^2 and coefficient p-values for mixed-method regressions; hazard ratio for time-to-first-round (Cox model) and associated p-value; intercoder reliability (Krippendorff's alpha or Cohen's kappa) target ≥0.70; diary compliance rate (%) and average entry length. Experimental setup: 1) Pre-register calibration anchors and truth-table frequency threshold = 2. 2) Apply calibrated GVC conditions and run fsQCA for outcomes: high fundraising (binary: above median total fundraising within sample), short time-to-first-round (binary: within median months), and hiring growth (binary: top tertile growth). 3) Run complementary sequence analysis on diary+timeline data to identify common event orders around funding. 4) Run mixed-method regressions linking continuous GVC scores to outcomes controlling for sector, region, and stage. Ablation studies: (i) remove reputational risk component and rerun fsQCA; (ii) vary component weights ±25% and compare solution stability; (iii) exclude diaries and compare fsQCA solutions; (iv) alternate calibration anchors by ±0.10 and evaluate coverage/consistency; (v) use external-indicators-only baseline to compare Spearman correlations and regression R^2. Report all results with bootstrap confidence intervals where applicable.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Small-N limits: N=25–35 restricts generalization and produces small intersectional cells; many subgroup analyses may be underpowered. 2) Calibration and limited diversity: fuzzy-set calibration may produce few distinct truth-table rows (limited diversity), reducing inferential clarity. 3) Causal limits: fsQCA identifies configurations compatible with outcomes but does not prove causation; time-ordering from sequence analysis helps but is not definitive. 4) Data quality and automation: news APIs and scraped feeds can miss mentions or misattribute entities, causing measurement error. 5) Legal and ethical constraints: collecting race/ethnicity or migration data in Germany is sensitive and may face legal limits and opt-out bias. 6) Diary attrition and compliance: busy founders may drop out or provide sparse diaries, biasing temporal analyses. 7) Coding bias: bilingual coding and translation carry interpretation risk; intercoder reliability may be hard to achieve for subjective nodes like reputational risk. 8) Comparator matching failure: adequate matched comparators (6–8) may be unavailable, reducing comparative validity. 9) Re-identification risk: public founders and firm-level details increase re-identification risk when publishing qualitative extracts. 10) Computational limits: bootstrapping and permutation tests for fsQCA with small N may be unstable or produce wide uncertainty.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