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santander_export_growth_regression</w:t>
      </w:r>
    </w:p>
    <w:p>
      <w:r>
        <w:t xml:space="preserve"> </w:t>
      </w:r>
    </w:p>
    <w:p>
      <w:pPr>
        <w:pStyle w:val="Heading2"/>
      </w:pPr>
      <w:r>
        <w:t>Title</w:t>
      </w:r>
    </w:p>
    <w:p>
      <w:r>
        <w:t>Multiple linear regression and spatial-panel analysis of firm-level drivers of export growth in Santander, Colombia (2010–2020)</w:t>
      </w:r>
    </w:p>
    <w:p>
      <w:r>
        <w:t xml:space="preserve"> </w:t>
      </w:r>
    </w:p>
    <w:p>
      <w:pPr>
        <w:pStyle w:val="Heading2"/>
      </w:pPr>
      <w:r>
        <w:t>Short Hypothesis</w:t>
      </w:r>
    </w:p>
    <w:p>
      <w:r>
        <w:t>Greater firm-level exposure to FTA tariff reductions and stronger firm financial health cause higher annual firm export growth in Santander between 2010 and 2020, conditional on firm fixed effects and spatial spillovers.</w:t>
      </w:r>
    </w:p>
    <w:p>
      <w:r>
        <w:t xml:space="preserve"> </w:t>
      </w:r>
    </w:p>
    <w:p>
      <w:pPr>
        <w:pStyle w:val="Heading2"/>
      </w:pPr>
      <w:r>
        <w:t>Related Work</w:t>
      </w:r>
    </w:p>
    <w:p>
      <w:r>
        <w:t>Existing empirical work on export growth commonly uses panel regressions, dynamic panels (GMM), and spatial econometrics to capture persistence and geographic spillovers. Prior approaches often rely on OLS or simple fixed-effects estimators that can be biased when financial predictors are endogenous, when instruments are weak, or when spatial dependence is present. Studies that use IV/GMM sometimes over-instrument or fail to report weak-instrument diagnostics. Spatial studies often report sensitivity to matrix choice and rarely combine spatial models with credible instrument strategies for financial endogeneity. Work on FTA exposure typically aggregates at regional levels or uses post-treatment weights, which can introduce endogeneity. Pandemic-era inference in past studies is limited by ad-hoc structural-break tests without pre-specified event windows and limited scenario translation. Reproducibility is also commonly weak due to missing pre-analysis plans and versioned master panels.</w:t>
      </w:r>
    </w:p>
    <w:p>
      <w:r>
        <w:t xml:space="preserve"> </w:t>
      </w:r>
    </w:p>
    <w:p>
      <w:pPr>
        <w:pStyle w:val="Heading2"/>
      </w:pPr>
      <w:r>
        <w:t>Abstract</w:t>
      </w:r>
    </w:p>
    <w:p>
      <w:r>
        <w:t>This study identifies the firm-level determinants of export growth in Santander, Colombia over 2010–2020 using a combined econometric and spatial approach. We treat annual log-differenced exports as the primary outcome and measure the short-run (one-year) and long-run (multi-year) effects of financial indicators, firm size, and policy exposure to free trade agreements. Our method integrates multiple linear regression with firm and time fixed effects, dynamic panel estimators to handle persistence, instrumental-variable strategies for endogenous financial predictors, and spatial-panel models to capture geographic spillovers informed by regional opportunity maps. The main contribution is a reproducible, pre-registered analytical pipeline that reports identification diagnostics, weak-instrument checks, spatial sensitivity, and pandemic-era structural-break inference. Expected outcomes include robust estimates of elasticities of export growth with respect to financial health and FTA exposure, spatial maps of heterogeneous effects across municipalities, and policy-relevant scenario projections for post-pandemic recovery and trade negotiations.</w:t>
      </w:r>
    </w:p>
    <w:p>
      <w:r>
        <w:t xml:space="preserve"> </w:t>
      </w:r>
    </w:p>
    <w:p>
      <w:pPr>
        <w:pStyle w:val="Heading2"/>
      </w:pPr>
      <w:r>
        <w:t>Methodology</w:t>
      </w:r>
    </w:p>
    <w:p>
      <w:r>
        <w:t>1) Data preparation: assemble a firm-year panel (2010–2020) with exports, revenues, employment, and financial ratios; convert nominal values to real 2015 COP and create log variables. Create pre-treatment product-destination shares (baseline year) to compute FTA exposure. Geocode firms to municipalities and derive spatial predictors (distance/time to ports, accessibility index). 2) Outcome and covariates: primary outcome = annual Δln(exports) (log difference). Covariates: lagged exports, ROA, EBITDA margin, debt/assets, interest coverage, CAPEX/sales, sales per employee, Herfindahl indices for product/destination concentration, firm size bins, and region-year controls. 3) Data cleaning: winsorize tails (1st/99th), flag missing values, apply multiple imputation (predictive mean matching) and retain imputation indicators. 4) Identification and instruments: propose collapsed instruments for endogenous financial variables: regional credit-supply shocks (bank branch changes), tariff-phase-in timing at HS6, and infrastructure project start dates. Explain instruments in plain terms: e.g., bank branch openings change local credit availability but do not directly change a firm's demand. 5) Estimation: run baseline FE regressions, dynamic panel estimators (system GMM with collapsed lags), IV/2SLS and LIML where appropriate, and spatial-panel models (SDM, SAR) using alternative weight matrices (contiguity, inverse-distance, infrastructure travel-time). 6) Diagnostics: report first-stage F, partial R2, Kleibergen-Paap, Hansen J, Cragg-Donald, Moran’s I, Lagrange multiplier tests, and VIF for multicollinearity. 7) Robustness: run placebo tests, structural-break tests around 2020, subgroup analyses by firm size/sector, and Monte Carlo power checks to guide estimator choice. Technical term notes: • Fixed effects: controls that remove time-invariant firm traits. • System GMM: an estimator that uses lagged variables as instruments to handle dynamic panels. • Spatial weight matrix: a table that defines how locations influence each other, e.g., by distance.</w:t>
      </w:r>
    </w:p>
    <w:p>
      <w:r>
        <w:t xml:space="preserve"> </w:t>
      </w:r>
    </w:p>
    <w:p>
      <w:pPr>
        <w:pStyle w:val="Heading2"/>
      </w:pPr>
      <w:r>
        <w:t>Experiments</w:t>
      </w:r>
    </w:p>
    <w:p>
      <w:r>
        <w:t>Datasets: firm-level exports and financials (128 firms, 2010–2020), customs records for HS6 destinations, municipal GIS layers (roads, travel-time to ports), tariff schedules and FTA implementation dates, bank branch/regional credit supply records, and infrastructure project timelines. Baselines: OLS pooled, firm and year fixed-effects (FE), FE with clustered SEs, IV/2SLS with collapsed instruments, LIML, difference and system GMM (collapsed instruments), Spatial Durbin Model (SDM), Spatial Autoregressive Model (SAR), and Geographically Weighted Regression (GWR) if municipality count ≥ 40. Evaluation metrics: estimated coefficients and 95% confidence intervals, robust SEs clustered by firm, first-stage F-statistic, partial R², Kleibergen-Paap, Hansen J p-value, Cragg-Donald where applicable, Moran’s I for residuals, root-mean-square error (RMSE), coverage probability from MC, and MDES curves. Experimental setup: 1) Preprocess: winsorize at 1%/99%, real-term conversion, compute Δln(exports), construct FTA_exposure using 2010 baseline shares, create spatial weight matrices (row-standardized). 2) Main estimation: run FE and report coefficients; instrument endogenous financial covariates using collapsed instruments and report first-stage diagnostics; run system GMM with max lags = 2 and collapsed instruments; run SDM/SAR with three weight matrices and report spatial diagnostics. 3) Ablation study: compare main IV/system GMM results with (a) no spatial terms, (b) no instruments (FE only), and (c) alternative FTA weighting (quantity vs value shares). 4) Robustness and placebo: Monte Carlo simulations (2,000 replications) under scenarios of weak/strong instruments and spatial dependence; placebo tests using unaffected HS6 products; Bai-Perron structural-break tests with event windows pre:2017–2019, onset:2020, short recovery:2020–2021. 5) Subsamples: repeat estimations by firm size (small/medium/large), by sector, and by municipality cluster.</w:t>
      </w:r>
    </w:p>
    <w:p>
      <w:r>
        <w:t xml:space="preserve"> </w:t>
      </w:r>
    </w:p>
    <w:p>
      <w:pPr>
        <w:pStyle w:val="Heading2"/>
      </w:pPr>
      <w:r>
        <w:t>Risk Factors And Limitations</w:t>
      </w:r>
    </w:p>
    <w:p>
      <w:r>
        <w:t>1) Endogeneity: instruments may be weak or invalid, causing biased IV estimates. 2) Small-T bias: T≈11 induces Nickell bias in dynamic panels; system GMM may suffer finite-sample problems. 3) Instrument proliferation: too many instruments can overfit and invalidate Hansen tests. 4) Spatial weight sensitivity: results may change with weight matrix choice or bandwidth thresholds. 5) Missing data: if data are not missing at random (MNAR), multiple imputation may be biased. 6) Limited external validity: findings may not generalize beyond Santander or the 2010–2020 window. 7) Measurement error: FTA preference-utilization proxies and tariff margins may be noisy. 8) Confidentiality: firm-level data sharing is restricted, limiting external replication unless synthetic datasets are used. 9) Computational cost: Monte Carlo simulations, system GMM, and spatial models are computationally intensive. 10) Multiple testing: multiple hypotheses increase false-positive risk without strict correction.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