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effectuation_precommitments_nz_smes</w:t>
      </w:r>
    </w:p>
    <w:p>
      <w:r>
        <w:t xml:space="preserve"> </w:t>
      </w:r>
    </w:p>
    <w:p>
      <w:pPr>
        <w:pStyle w:val="Heading2"/>
      </w:pPr>
      <w:r>
        <w:t>Title</w:t>
      </w:r>
    </w:p>
    <w:p>
      <w:r>
        <w:t>Three-wave PLS-SEM panel study of how effectual pre-commitments and real-options reasoning drive foreign market entry and international performance in New Zealand SMEs</w:t>
      </w:r>
    </w:p>
    <w:p>
      <w:r>
        <w:t xml:space="preserve"> </w:t>
      </w:r>
    </w:p>
    <w:p>
      <w:pPr>
        <w:pStyle w:val="Heading2"/>
      </w:pPr>
      <w:r>
        <w:t>Short Hypothesis</w:t>
      </w:r>
    </w:p>
    <w:p>
      <w:r>
        <w:t>Higher levels of SME pre-commitment and staging (cause) increase the creation of foreign market entry opportunities which causally raise international performance, and this indirect effect is stronger when experiential learning is higher (moderation).</w:t>
      </w:r>
    </w:p>
    <w:p>
      <w:r>
        <w:t xml:space="preserve"> </w:t>
      </w:r>
    </w:p>
    <w:p>
      <w:pPr>
        <w:pStyle w:val="Heading2"/>
      </w:pPr>
      <w:r>
        <w:t>Related Work</w:t>
      </w:r>
    </w:p>
    <w:p>
      <w:r>
        <w:t>Prior work links effectuation (pre-commitment, staging logic, affordable loss) and real-options reasoning to SME internationalization using cross-sectional surveys and qualitative cases. Existing quantitative studies often rely on single-wave data, reflective-only measurement, or small samples, limiting causal claims. Other approaches use real-options modeling but lack firm-level behavioral measures. Limitations include weak temporal separation to establish precedence, potential common-method and selection bias (program participation is endogenous), sparse use of administrative outcome linkage, and inconsistent treatment of effectuation as formative versus reflective constructs. Few studies test moderated mediation with experiential learning, and most do not pre-register instrument choices or simulate power for indirect effects. Consequently, causal identification, measurement specification, and external validation remain unresolved.</w:t>
      </w:r>
    </w:p>
    <w:p>
      <w:r>
        <w:t xml:space="preserve"> </w:t>
      </w:r>
    </w:p>
    <w:p>
      <w:pPr>
        <w:pStyle w:val="Heading2"/>
      </w:pPr>
      <w:r>
        <w:t>Abstract</w:t>
      </w:r>
    </w:p>
    <w:p>
      <w:r>
        <w:t>This study tests whether SMEs' effectual pre-commitments and staging, together with real-options reasoning, drive the creation of foreign market entry opportunities and thereby improve international performance, with experiential learning moderating these links. We use a three-wave panel survey of New Zealand SMEs, linkable to administrative outcomes where available, and implement PLS-SEM as the primary estimation method. Identification is strengthened by regionally timed quasi-exogenous shocks (e.g., regional export-support rollouts, trade-mission announcements, and currency episodes) used as instruments and by pre-registered temporal lags. We compare two measurement specifications (formative higher-order effectuation vs. reflective multi-trait), test moderated mediation, and evaluate affordable-loss thresholds with piecewise models. Main contributions are (1) a preregistered, reproducible causal design for behavioral effectuation measures, (2) explicit measurement comparisons, and (3) simulation-based power targets and administrative linkage for objective performance. Expected outcomes are robust estimates of how pre-commitments and staging create opportunities that translate into measurable international performance, conditional on firms' experiential learning.</w:t>
      </w:r>
    </w:p>
    <w:p>
      <w:r>
        <w:t xml:space="preserve"> </w:t>
      </w:r>
    </w:p>
    <w:p>
      <w:pPr>
        <w:pStyle w:val="Heading2"/>
      </w:pPr>
      <w:r>
        <w:t>Methodology</w:t>
      </w:r>
    </w:p>
    <w:p>
      <w:r>
        <w:t>Overview: Run a three-wave panel (Wave 1 baseline, Wave 2 after 2–3 months, Wave 3 after 6–9 months). Sample: stratified NZ SME frame by region, industry, and size; target ≥332 complete firms. Data sources: primary survey plus linkage to NZ Companies Office, IRD, and NZ Customs where consented. Shock inventory: compile dated, geocoded events from NZTE and MBIE announcements, trade-mission schedules (MFAT), regional Business Partner program rollouts, and Reserve Bank / Treasury windows marking sharp NZD moves. Code exposure per firm using: (a) binary participation/coverage (0/1), (b) intensity index = normalized sum(weighted budget share by region + firm-level engagement count), and (c) distance-weighted exposure = intensity / (1 + distance_km/100). Measurement: draft one item per construct (simple wording) and pretest 6–10 cognitive interviews. Example draft items (each on 5-point scale): pre-commitment: “We made specific resource commitments to foreign-market activities before outcomes were known.” staging logic: “We expanded into foreign markets in staged, sequential steps.” affordable loss: “Our foreign-market decisions were based on losses we could afford rather than expected gains.” real-options: formative indicators = option_count (number of trial activities), option_quality (perceived strategic value), responsiveness (speed of pivoting). experiential learning: reflective items on frequency of experiments, reflection routines, and implemented learning. Measurement models: test (A) higher-order formative Effectuation with reflective subdimensions versus (B) reflective first-order constructs into a second-order factor. For moderation: use two-stage latent-score approach for latent interactions (estimate latent scores, compute interaction terms). Causal design: primary cross-lagged panel with instruments from shock inventory; pre-specify exclusion restrictions and lead/lag placebo tests. Estimation: PLS-SEM primary; bootstrapping 5,000 resamples for CIs; compare CB-SEM where fit permits. Threshold tests: implement piecewise-spline models for affordable loss. Reproducibility: preregister code, share scripts and synthetic data, containerize analysis environment.</w:t>
      </w:r>
    </w:p>
    <w:p>
      <w:r>
        <w:t xml:space="preserve"> </w:t>
      </w:r>
    </w:p>
    <w:p>
      <w:pPr>
        <w:pStyle w:val="Heading2"/>
      </w:pPr>
      <w:r>
        <w:t>Experiments</w:t>
      </w:r>
    </w:p>
    <w:p>
      <w:r>
        <w:t>Datasets: primary three-wave survey of NZ SMEs (target n_complete ≥ 332), administrative linkage to NZ Companies Office, IRD, NZ Customs where allowed, and shock-inventory table with dated regional events. Baselines: (1) structural model without pre-commitment/staging variables, (2) model using only reflective measurement specification, (3) CB-SEM estimate, (4) no-instrument cross-lag model. Main model: PLS-SEM cross-lagged panel with instruments (regional shock exposure) predicting opportunity creation (Wave2) and international performance (Wave3). Evaluation metrics: path coefficients with bootstrap CIs, indirect-effect significance, R2 for endogenous constructs, f2 effect sizes, SRMR, Q2 predictive relevance, PLSpredict RMSE, first-stage F-statistics for instruments, Hansen/Sargan overidentification p-values, cluster-robust SEs by region, HTMT for discriminant validity. Experimental setup: 5,000 bootstrap draws, cluster by region, standardize latent scores. Ablations/Comparisons: (A) measurement ablation: compare formative higher-order vs reflective second-order specification (report changes in path signs, magnitudes, SRMR, Q2); (B) moderator ablation: remove experiential learning to test change in indirect effects; (C) instrument ablation: estimate models with and without instruments and run DiD/event-study as robustness. Threshold test: run piecewise-spline regressions splitting affordable_loss at pre-registered cutpoints (low/medium/high) and test for differences in indirect paths. Power checks: preregister simulation defaults and report minimal detectable indirect effect for main and subgroup tests.</w:t>
      </w:r>
    </w:p>
    <w:p>
      <w:r>
        <w:t xml:space="preserve"> </w:t>
      </w:r>
    </w:p>
    <w:p>
      <w:pPr>
        <w:pStyle w:val="Heading2"/>
      </w:pPr>
      <w:r>
        <w:t>Risk Factors And Limitations</w:t>
      </w:r>
    </w:p>
    <w:p>
      <w:r>
        <w:t>Instrument endogeneity: firms self-select into programs, making instruments invalid if uptake correlates with unobserved ambition. Measurement error: self-reported constructs (pre-commitment, opportunities, performance) may be biased. Attrition and MNAR: multi-wave dropout may be non-random and bias longitudinal estimates. Administrative linkage failure: privacy or approvals may block access to Companies Office/IRD/Customs data, forcing reliance on self-reports. Limited power for subgroup analyses: interaction and moderated-mediation effects may be small and require larger samples than available. Model dependence: results may vary by PLS-SEM vs CB-SEM choices and by formative vs reflective specification. Spatial spillovers and clustered shocks: regional shocks may affect neighbouring regions, complicating identification. External validity: NZ institutional context limits direct generalization to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