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cgo_usage_empirical_study</w:t>
      </w:r>
    </w:p>
    <w:p>
      <w:r>
        <w:t xml:space="preserve"> </w:t>
      </w:r>
    </w:p>
    <w:p>
      <w:pPr>
        <w:pStyle w:val="Heading2"/>
      </w:pPr>
      <w:r>
        <w:t>Title</w:t>
      </w:r>
    </w:p>
    <w:p>
      <w:r>
        <w:t>Empirical measurement of cgo usage and risks in Go projects using libclang-backed static analysis and targeted dynamic validation</w:t>
      </w:r>
    </w:p>
    <w:p>
      <w:r>
        <w:t xml:space="preserve"> </w:t>
      </w:r>
    </w:p>
    <w:p>
      <w:pPr>
        <w:pStyle w:val="Heading2"/>
      </w:pPr>
      <w:r>
        <w:t>Short Hypothesis</w:t>
      </w:r>
    </w:p>
    <w:p>
      <w:r>
        <w:t>A libclang-backed static analyzer combined with stratified sampling and targeted dynamic tracing will produce CONFIRMED Go↔C call mappings with precision ≥ 0.95 and recall ≥ 0.85, and will show that unsafe.Pointer transfers and OPAQUE_C artifacts account for the majority of critical cgo issues.</w:t>
      </w:r>
    </w:p>
    <w:p>
      <w:r>
        <w:t xml:space="preserve"> </w:t>
      </w:r>
    </w:p>
    <w:p>
      <w:pPr>
        <w:pStyle w:val="Heading2"/>
      </w:pPr>
      <w:r>
        <w:t>Related Work</w:t>
      </w:r>
    </w:p>
    <w:p>
      <w:r>
        <w:t>Existing work includes lightweight surveys and small-scale tools that report that roughly 11% of Go projects use cgo and that common uses are for system info and performance. Prior static approaches rely on name-based heuristics or coarse text matching; they often fail on C++ name mangling, macro-only headers, generated cgo glue, and inline assembly. Dynamic tracing studies exist but are limited by legal and safety constraints and by limited scale. Tooling that attempts cross-language mapping rarely provides strong provenance, conservative uncertainty labels, or rigorous validation against dynamic traces. These limitations leave unresolved questions about true prevalence, the distribution of risky patterns (for example, unsafe.Pointer usage), and how to report uncertainty from unparsable or mangled artifacts.</w:t>
      </w:r>
    </w:p>
    <w:p>
      <w:r>
        <w:t xml:space="preserve"> </w:t>
      </w:r>
    </w:p>
    <w:p>
      <w:pPr>
        <w:pStyle w:val="Heading2"/>
      </w:pPr>
      <w:r>
        <w:t>Abstract</w:t>
      </w:r>
    </w:p>
    <w:p>
      <w:r>
        <w:t>We present a reproducible, validated pipeline to measure how and why Go projects use cgo (the Go foreign-function interface) and to identify critical cross-language issues. The approach builds an automated analyzer (cgoanalyzer) that parses project C/C++ with libclang, detects extern "C" anchors, demangles C++ symbols, and emits conservative labels (CONFIRMED, CANDIDATE, OPAQUE_C, UNKNOWN_MANGLED) for each cross-language edge. We pair stratified corpus sampling and build-variant coverage with a curated bindings testbed and consented dynamic traces in isolated VMs to validate recall and false negatives. The main contributions are: (1) a validated measurement pipeline with pre-registered sampling and uncertainty propagation, (2) a taxonomy of prevalent cgo usage patterns and risky classes (e.g., unsafe.Pointer transfers and opaque C artifacts), and (3) prototype mitigations (a vet/staticcheck plugin and a CI integration). Expected outcomes are reproducible prevalence estimates with uncertainty bands, an annotated dataset, and practical guidance for developers and the Go team.</w:t>
      </w:r>
    </w:p>
    <w:p>
      <w:r>
        <w:t xml:space="preserve"> </w:t>
      </w:r>
    </w:p>
    <w:p>
      <w:pPr>
        <w:pStyle w:val="Heading2"/>
      </w:pPr>
      <w:r>
        <w:t>Methodology</w:t>
      </w:r>
    </w:p>
    <w:p>
      <w:r>
        <w:t>1) Corpus collection and prefiltering: fetch repositories by scanning for import "C" or cgo build tags, record exact commit hashes, and store immutable tarballs with SHA256 IDs. 2) Artifact extraction: extract Go sources, generated cgo stubs (_cgo_*.go), and C/C++ headers and sources into content-addressable storage. 3) Static analysis engine: use libclang (a C/C++ parsing library) in C++ mode to build ASTs (abstract syntax trees) and find extern "C" declarations; demangle C++ names with a standard demangler (c++filt) to get readable names; match demangled names to Go references. 4) Labeling: assign CONFIRMED when libclang gives an unambiguous mapping, CANDIDATE for heuristic name matches with a confidence score, OPAQUE_C for macro-only/inline-asm/unparsable code, and UNKNOWN_MANGLED when demangling yields ambiguous candidates. (Explanation: libclang parses C/C++ code into a tree; demangling converts compiler-mangled names back to readable forms.) 5) Build-variant sampling: attempt prioritized GOOS/GOARCH variants up to five per repo (linux/amd64, linux/arm64, darwin/amd64, darwin/arm64, windows/amd64) and record which variant exposes which edges. 6) Annotation and IAA: double-annotate a representative sample of callsites, compute Cohen's kappa, and adjudicate disagreements with versioned guidelines. 7) Dynamic validation: run consented, license-cleared traces in isolated VMs with network egress disabled, 5-minute caps, and secret/PII scrubbers to record actual call targets for recall measurement. 8) Analysis: compute precision/recall for CONFIRMED edges, bootstrap 95% confidence intervals, report weighted and unweighted prevalence, and perform ablation comparisons.</w:t>
      </w:r>
    </w:p>
    <w:p>
      <w:r>
        <w:t xml:space="preserve"> </w:t>
      </w:r>
    </w:p>
    <w:p>
      <w:pPr>
        <w:pStyle w:val="Heading2"/>
      </w:pPr>
      <w:r>
        <w:t>Experiments</w:t>
      </w:r>
    </w:p>
    <w:p>
      <w:r>
        <w:t>Datasets: Pilot corpus of 300 stratified repositories (by size, stars, domain, vendoring, fork status); validation subset: ~180 positive repos with cgo and ~90 negatives; curated bindings corpus of 15–25 unit-test repositories; dynamic tracing set of 15–20 consented repos; random negative sample of ~200 non-cgo callsites. Baselines: (A) name-only matching (naive string match), (B) no-demangle static mapping, (C) prior reported prevalence (11.3%) as a reference. Metrics: precision and recall for CONFIRMED Go↔C mappings; precision and recall for pointer-violation detector; bootstrapped 95% confidence intervals for prevalence; Cohen's kappa for inter-annotator agreement (target κ ≥ 0.7); false-negative rate from dynamic traces. Setup: run libclang versions 10–15 in pinned containers, demangle with c++filt, run cgoanalyzer per build-variant, produce per-repo JSON outputs. Procedure: (1) Run static analysis on each variant and collect labels. (2) Double-annotate sampled callsites, compute κ and precision/recall against adjudicated ground truth. (3) Execute dynamic traces on consented repos to observe actual call targets and compute false-negative counts. (4) Ablation studies: remove demangler (compare mapping drop), exclude CANDIDATE edges from prevalence, exclude VENDORED/GENERATED paths, and compare unweighted vs pre-registered weighting schemes. (5) Statistical analysis: bootstrap CIs, report sensitivity to weighting and to inclusion of CANDIDATE/OPAQUE classes. Acceptance tests: CONFIRMED mapping precision ≥ 0.95 and recall ≥ 0.85; pointer-detector precision ≥ 0.90 and recall ≥ 0.75.</w:t>
      </w:r>
    </w:p>
    <w:p>
      <w:r>
        <w:t xml:space="preserve"> </w:t>
      </w:r>
    </w:p>
    <w:p>
      <w:pPr>
        <w:pStyle w:val="Heading2"/>
      </w:pPr>
      <w:r>
        <w:t>Risk Factors And Limitations</w:t>
      </w:r>
    </w:p>
    <w:p>
      <w:r>
        <w:t>1) Parsing failures: libclang may fail on macro-heavy headers, inline assembly, or nonstandard preprocessing, producing OPAQUE_C labels and lost mappings. 2) Demangler ambiguity: C++ name demangling can yield multiple plausible symbols (UNKNOWN_MANGLED) and cause false negatives or candidates. 3) Generated/vendor code: vendored or generated C glue may distort prevalence if not excluded consistently. 4) Dynamic-run legal and safety limits: license restrictions or lack of maintainer consent will prevent dynamic validation on many repos. 5) Sampling bias: stratification may still underrepresent private, enterprise, or language-mixed projects; public-repo findings may not generalize to closed-source code. 6) Toolchain fragility: results depend on libclang and demangler versions; changes can break reproduction. 7) Compute and storage: analyzing many variants and large corpora requires substantial CPU, VM hours, and storage. 8) Annotation limits: human annotation is time-consuming and may still leave ambiguous composite mappings. 9) External linkage and runtime substitution: link-time symbol redirection or system-provided headers may hide true targets from static analysis. 10) Generalization: results focus on open-source Go projects and may not apply to other FFIs or closed ecosystems.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