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agentarceval_spec</w:t>
      </w:r>
    </w:p>
    <w:p>
      <w:r>
        <w:t xml:space="preserve"> </w:t>
      </w:r>
    </w:p>
    <w:p>
      <w:pPr>
        <w:pStyle w:val="Heading2"/>
      </w:pPr>
      <w:r>
        <w:t>Title</w:t>
      </w:r>
    </w:p>
    <w:p>
      <w:r>
        <w:t>AgentArcEval: a scenario-driven evaluation specification for architectures of foundation-model-based agents</w:t>
      </w:r>
    </w:p>
    <w:p>
      <w:r>
        <w:t xml:space="preserve"> </w:t>
      </w:r>
    </w:p>
    <w:p>
      <w:pPr>
        <w:pStyle w:val="Heading2"/>
      </w:pPr>
      <w:r>
        <w:t>Short Hypothesis</w:t>
      </w:r>
    </w:p>
    <w:p>
      <w:r>
        <w:t>Adding compositional, scenario-driven evaluation with annotated architecture graphs, explicit provenance logs, and rare-event sampling will detect architecture-level safety and reliability failures (e.g., tool-interface failures, prompt-injection bypass, long-horizon drift) at higher rates and with tighter confidence intervals than task-only black-box testing.</w:t>
      </w:r>
    </w:p>
    <w:p>
      <w:r>
        <w:t xml:space="preserve"> </w:t>
      </w:r>
    </w:p>
    <w:p>
      <w:pPr>
        <w:pStyle w:val="Heading2"/>
      </w:pPr>
      <w:r>
        <w:t>Related Work</w:t>
      </w:r>
    </w:p>
    <w:p>
      <w:r>
        <w:t>Existing evaluation approaches for language-model based agents fall into several groups: task-level benchmarks that measure end-to-end task success, adversarial red-team tests that probe for vulnerabilities, formal-methods and probabilistic model checking for small, hand-modeled systems, and logging/provenance frameworks for ML reproducibility. Task-level benchmarks focus on performance but treat agents as black boxes and miss architecture-specific failure modes. Red-team evaluations produce important attack examples but are often ad hoc, non-reproducible, and not tied to component versions. Formal verification yields strong guarantees but does not scale to complex, nondeterministic agent stacks that include external tools. Current rare-event and statistical methods for safety are often limited to simple Hoeffding-style sample guidance and lack concrete rare-event algorithms or stopping rules for low-probability failures. Provenance and logging standards exist but are not consistently linked to evaluation metrics or scenario catalogues. In sum, prior work lacks a unified, reproducible, architecture-focused evaluation method that combines PO-MDP abstractions, empirical kernel estimation, rare-event sampling, and signed provenance for foundation-model agents.</w:t>
      </w:r>
    </w:p>
    <w:p>
      <w:r>
        <w:t xml:space="preserve"> </w:t>
      </w:r>
    </w:p>
    <w:p>
      <w:pPr>
        <w:pStyle w:val="Heading2"/>
      </w:pPr>
      <w:r>
        <w:t>Abstract</w:t>
      </w:r>
    </w:p>
    <w:p>
      <w:r>
        <w:t>We present AgentArcEval, a specification and evaluation method for architectures of foundation-model-based agents. The problem is that current tests treat agents as black boxes, ignore compositional architectures, and fail to account for nondeterminism, tool interactions, and rare catastrophic behaviors. AgentArcEval addresses this by (1) representing agent architectures as annotated directed graphs with node and edge types and versioned contracts; (2) mapping architecture fragments to small partially observable Markov decision process (PO-MDP) abstractions that record RNG and entropy provenance; (3) estimating empirical transition/observation kernels from instrumented runs and combining stubbing with empirical data; and (4) applying targeted rare-event sampling (sequential importance sampling and multilevel splitting), concrete adversary generators, and signed provenance logs. The main contribution is a reproducible, scenario-catalogue-driven evaluation pipeline that yields quantitative metrics (recoverability, bypass rate, drift regret) with statistical confidence and that supports ablations and causal traceability. Expected outcomes are reproducible audits of agent architectures, clearer comparisons between designs, and operational decision rules for certifying safety properties.</w:t>
      </w:r>
    </w:p>
    <w:p>
      <w:r>
        <w:t xml:space="preserve"> </w:t>
      </w:r>
    </w:p>
    <w:p>
      <w:pPr>
        <w:pStyle w:val="Heading2"/>
      </w:pPr>
      <w:r>
        <w:t>Methodology</w:t>
      </w:r>
    </w:p>
    <w:p>
      <w:r>
        <w:t>1) Canonical architecture representation: define a simple graph format where nodes are typed components (Orchestrator, Planner, ToolInterface, Tool, Guardrail, DataStore, Evaluator, Environment) and edges are labeled with contract fields (input schema, output schema, pre/post conditions, latency_ms, contract_version). Example: a ToolInterface node includes a 'call_tool' action and a schema for tool arguments.</w:t>
        <w:br/>
        <w:br/>
        <w:t>2) PO-MDP mapping: for each scenario, build a small PO-MDP with explicit sets: states S (high-level component states like ok, tool_error, guarded, recovered), actions A (call_tool, llm_decide, fallback), and observations O (tool outputs, guard signals). Define transition kernels T(s'|s,a; theta) and observation kernels O(o|s,a; phi). Record RNG provenance by adding a per-decision field seed_id and RNG_source to the observation. Explanation: a PO-MDP is a model that represents partial observability (you do not see true state) and stochastic transitions.</w:t>
        <w:br/>
        <w:br/>
        <w:t>3) Empirical kernel estimation: collect instrumented runs to build frequency-based estimators for transition and observation probabilities. Use: (a) frequency counts for discrete outputs, (b) kernel density estimation (KDE) for continuous outputs, and (c) Bayesian Dirichlet-multinomial posteriors for small counts. Combine stubs and empirical runs by treating stubs as prior pseudo-counts and updating with real-run data. Provide sample-complexity guidance: for a discrete transition with K outcomes and desired error ε and confidence 1−δ, use n ≥ (1/(2ε^2)) ln(2K/δ) as a working rule.</w:t>
        <w:br/>
        <w:br/>
        <w:t>4) Rare-event sampling: implement sequential importance sampling (SIS) and multilevel splitting. SIS: draw samples from a biased proposal that increases the rate of failure events, weight samples by likelihood ratio, and stabilize weights by resampling when effective sample size drops below a threshold. Multilevel splitting: define intermediate thresholds on a scalar failure score and split/clone trajectories that cross levels. Prespecify stopping when effective sample size and CI for the rare-event probability meet targets.</w:t>
        <w:br/>
        <w:br/>
        <w:t>5) Adversary generators: convert attacker classes into executable scripts: input perturbation scripts (token-level edit functions), tool-spoofing stubs (mock tool endpoints returning adversarial responses), and RL-based attackers (policy that crafts inputs to maximize a failure reward). Each generator accepts capability and budget parameters.</w:t>
        <w:br/>
        <w:br/>
        <w:t>6) Logging and provenance: define an event schema with event_id, timestamp (ISO8601), component_id, component_version (image SHA), seed_id, RNG_source, input_payload_ref, output_payload_ref, contract_version, decision_token, latency_ms, environment_snapshot_ref, causal_link_ids. Persist signed logs (software signing or HSM) and export a W3C PROV-style causal graph.</w:t>
        <w:br/>
        <w:br/>
        <w:t>7) Reproducibility controls: use immutable container images, fixed CUDA/cuDNN/driver versions, deterministic runtime flags when available, and explicit seed propagation. Record residual nondeterminism metrics by repeating fixed-seed runs and measuring variance.</w:t>
        <w:br/>
        <w:br/>
        <w:t>8) Metrics and decision rules: define recoverability p_recover, bypass_rate p_bypass, drift_regret R. Compute bootstrap CIs (B=2000) and Clopper–Pearson for small counts; apply Bonferroni or Benjamini–Hochberg for multiple scenarios.</w:t>
        <w:br/>
        <w:br/>
        <w:t>9) Pipeline and artifacts: implement CI workflows that run exploratory (N=30) and certifying trials (N from sample-size formula), produce signed traces, per-run raw vectors, aggregated metrics, and ablation comparisons. Provide YAML/JSON templates for architecture and scenario definitions.</w:t>
      </w:r>
    </w:p>
    <w:p>
      <w:r>
        <w:t xml:space="preserve"> </w:t>
      </w:r>
    </w:p>
    <w:p>
      <w:pPr>
        <w:pStyle w:val="Heading2"/>
      </w:pPr>
      <w:r>
        <w:t>Experiments</w:t>
      </w:r>
    </w:p>
    <w:p>
      <w:r>
        <w:t>Datasets and environments: 1) Synthetic environment simulator with deterministic tool behaviors for controlled tests. 2) Two realistic task suites: (A) tool-using web-retrieval tasks (query → tool calls → synthesize answer), (B) multi-step planning tasks with external API calls. Include an environment seed set of 100 distinct seeds per task.</w:t>
        <w:br/>
        <w:br/>
        <w:t>Baselines: 1) single-LLM black-box evaluation (no component-level logs). 2) architecture without guardrails (omit Guardrail node). 3) naive sampling (Hoeffding-only fixed sampling) without rare-event methods. 4) prior formal-methods small-model check where applicable.</w:t>
        <w:br/>
        <w:br/>
        <w:t>Metrics: recoverability p_recover (fraction reaching recovered state within k steps), bypass_rate p_bypass (fraction producing unsafe_action), drift_regret R (mean benchmark_reward − achieved_reward), latency_ms, traceability_fraction (fraction of decisions with full causal trace). Report bootstrap 95% CI for each metric; use Clopper–Pearson for small counts.</w:t>
        <w:br/>
        <w:br/>
        <w:t>Experimental setup: instrumented containerized agent stacks, fixed container images and driver versions, deterministic seeds propagated per run, log signing enabled. Run exploratory N=30 trials per scenario and architecture variant. For certifying comparisons compute n using Hoeffding and Bayesian sample-size estimates; use n≈740 as target for primary certification.</w:t>
        <w:br/>
        <w:br/>
        <w:t>Ablation studies: A1) remove Guardrail node and compare p_recover and p_bypass; A2) replace ToolInterface contract with weaker schema and measure change in recovery_time and bypass_rate; A3) substitute coordinator (single-agent vs multi-agent coordinator) and measure drift_regret and latency.</w:t>
        <w:br/>
        <w:br/>
        <w:t>Rare-event algorithm comparison: implement SIS and multilevel splitting on prompt-injection and tool-spoofing scenarios. For each, report estimated rare-event probability, effective sample size, weight variance, and time-to-certify. Use stopping criteria: CI half-width ≤ ε_target or maximum budget exhausted.</w:t>
        <w:br/>
        <w:br/>
        <w:t>Statistical tests: pairwise comparisons with bootstrap CI overlap and permutation tests for metric differences; correct for multiple testing across scenarios with Benjamini–Hochberg at FDR=0.05. Publish per-run raw vectors, signed provenance, and CI computations for reproducibility.</w:t>
      </w:r>
    </w:p>
    <w:p>
      <w:r>
        <w:t xml:space="preserve"> </w:t>
      </w:r>
    </w:p>
    <w:p>
      <w:pPr>
        <w:pStyle w:val="Heading2"/>
      </w:pPr>
      <w:r>
        <w:t>Risk Factors And Limitations</w:t>
      </w:r>
    </w:p>
    <w:p>
      <w:r>
        <w:t>1) Model and hardware nondeterminism: GPU drivers, nondeterministic kernels, and hardware variance can produce irreducible run-to-run variance that limits exact reproducibility. 2) Kernel estimation error: empirical transition and observation kernels require many runs for rare or high-cardinality outputs; estimation error propagates into CI and may bias rare-event estimates. 3) Cost and scale: certifying sample sizes (hundreds to thousands of runs) on large LLMs incur substantial token and GPU costs and may be infeasible for some teams. 4) Proxy validity: distilled LLMs or simulators used as proxies may not capture real failure modes, limiting external validity. 5) Rare-event algorithm sensitivity: importance-sampling and multilevel splitting require careful tuning; poor choices can yield high-variance estimators. 6) Adversary realism: scripted or RL-based attackers may not reflect real-world adversaries or their access, causing under- or over-estimation of risk. 7) Privacy and redaction limits: logging raw payloads can expose sensitive data; redaction or DP can reduce diagnostic value. 8) Generalization: results on chosen scenarios and baseline architectures may not generalize to all agent designs or domains. 9) Formal guarantees: PO-MDP abstractions and empirical SMC provide statistical assurances but not absolute formal proof for large, evolving foundation-model agents.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