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refa_devops_iec62443_longitudinal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Longitudinal study of REFA: adapting DevOps pipelines to enforce IEC 62443-4-1 continuous security compliance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the REFA lifecycle (clause→control mappings, machine-checkable acceptance criteria, automated CI/CD gates, and an immutable evidence repository) across development teams causes a statistically significant increase in compliance_coverage and automation_rate compared to teams operating without REFA within six months (α=0.05).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secure software development lifecycles (SDL) and DevSecOps practices that integrate security scans and developer-facing checks into CI/CD pipelines, standards-mapping efforts that map regulatory clauses to controls, policy-as-code enforcement patterns (OPA/Rego), SBOM provenance and artifact-signing tools (CycloneDX/SPDX, cosign, in-toto), and threat-modelling methods (e.g., STRIDE, attack trees). Limitations in existing approaches are: lack of a standardized clause→control matrix tied to machine-checkable acceptance criteria; inconsistent or unpublished scoring methods for threat models and low inter-rater reliability controls; limited longitudinal or cluster-randomized evidence on operational effects of pipeline gates; weak treatment of ICS safety integration (SIA/HIL attestations) and practical paths for teams without testbeds; sparse quantification of gate FP/FN impacts on availability; and few reproducible artifact packages (Dockerized sims, sanitized labeled corpora) for external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Regulated critical-infrastructure software must meet IEC 62443-4-1 security requirements while maintaining DevOps speed. This study evaluates REFA, a prescriptive DevOps lifecycle that maps IEC clauses to controls, encodes machine-checkable acceptance criteria, enforces automated CI/CD gates, and stores immutable evidence (SBOMs, signed build attestations, threat-model artifacts). We propose a stepped-wedge cluster trial across development teams to measure changes in compliance_coverage and automation_rate, plus gate reliability (precision/recall), safety attestations, and learning-transfer outcomes. Main contributions are: (1) a reproducible clause→control mapping and JSON schema for SRTM and evidence records, (2) a tested set of policy-as-code gate implementations and SBOM/cosign provenance checks, and (3) a longitudinal evaluation protocol including inter-rater reliability for threat-model scoring and Monte-Carlo power simulations. Expected outcomes include measurable increases in verifiable compliance and automation, quantified trade-offs between gate strictness and deployment availability, and published reproducibility artifacts for external audit and replication.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Clause→control mapping: produce a CSV/JSON mapping of every IEC 62443-4-1 clause to a REFA control_id and a normative excerpt. 2) Machine-checkable acceptance criteria: define JSON Schemas for SRTM rows and acceptance_criteria fields (required fields: clause_id, story_id, AC_id, artifact_links, evidence_hashes, safety_impact). 3) Threat-model method: adopt STRIDE (Spoofing, Tampering, Repudiation, Information disclosure, Denial, Elevation) with a numeric scoring algorithm (0-5 per category) and a template; supply worked examples. STRIDE is a structured checklist to identify attacker goals; scoring sums severity across categories. 4) Automation: implement policy-as-code (OPA/Rego) CI gates that evaluate PR inputs against schema-compliant SRTM presence, SAST/DAST results thresholds, SBOM presence (CycloneDX/SPDX), cosign signature verification, and SIA-attestation flags. 5) Evidence repo: design an immutable evidence schema (evidence_id, clause_id, control_id, artifact_hash, signer_id, signature, timestamp, sensitivity_level) and store signed metadata; provide redaction rules and pseudonymization for human data. 6) Pilot reliability: run 3-rater inter-rater pilot on SRTM rows and threat models to compute Cohen's kappa (binary items) and ICC (continuous quality scores). 7) Field trial: execute a stepped-wedge rollout across clusters with monthly metric collection and mixed-effects models for analysis. Technical terms explained: SRTM = Software Requirements Traceability Matrix (links clauses to user stories); SBOM = Software Bill of Materials (list of components); cosign = a tool to sign artifacts; OPA/Rego = policy engine and language for gate rules. Provide containerized artifacts (Docker) and random seeds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8–12 development teams (clusters) across 2–4 organizations; each team provides monthly SRTM rows, CI/CD logs, SBOMs, signed build attestations, PR metadata, threat models, and safety attestation artifacts for 12 months. Baselines: (A) business-as-usual (no REFA), (B) REFA without automated gates (manual evidence collection), (C) REFA with automated gates and evidence repo. Metrics: primary — compliance_coverage (percent of mapped IEC clauses with valid evidence per team-month), automation_rate (percent of REFA controls enforced by automated gates per team-month); secondary — MTTR_vuln (days), deployment_frequency (releases/month), gate_precision and gate_recall (per gate), FP_rate and FN_rate, safety_test_pass_rate, Cohen's kappa and ICC for rater reliability, learning-transfer scores (pre/post competency). Evaluation frequency: monthly aggregated by team. Design: stepped-wedge cluster rollout randomized order; collect baseline period for all clusters before first rollouts. Statistical tests: mixed-effects linear models with cluster random intercepts and time fixed effects to estimate treatment effect on compliance_coverage and automation_rate; significance α=0.05. Power: assume ICC 0.03–0.10, baseline compliance≈40%; with 8–12 clusters detectable absolute change ≈7–15 percentage points at 80% power (Monte-Carlo sims). Ablation studies: remove SBOM/cosign enforcement, remove SIA checks, and compare REFA with vs without automated gate enforcement. Inter-rater experiment: three raters rate N=30 SRTM rows + 30 threat models each; compute kappa and ICC and report calibration results. Reproducibility: publish Docker images, simulation seeds, sanitized synthetic datasets, and CI job IDs used to derive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Gate false positives that block urgent deployments and cause operational disruption; gate false negatives that permit non-compliant code; teams lacking HIL or digital-twin testbeds cannot produce standard safety attestations; sample biases from volunteer teams and limited generalizability beyond ICS-like regulated contexts; measurement error from incomplete or inconsistent evidence submission; rater bias and low inter-rater reliability for threat-model scoring; privacy and IRB constraints around teach-back videos and human data; scalability limits for evidence storage and cosign key management at large artifact volumes; assumptions in power calculations (baseline compliance, ICC) may be incorrect, reducing detectable effect sizes; implementation heterogeneity across organizations may confound causal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