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deep_chaos_frog_heart</w:t>
      </w:r>
    </w:p>
    <w:p>
      <w:r>
        <w:t xml:space="preserve"> </w:t>
      </w:r>
    </w:p>
    <w:p>
      <w:pPr>
        <w:pStyle w:val="Heading2"/>
      </w:pPr>
      <w:r>
        <w:t>Title</w:t>
      </w:r>
    </w:p>
    <w:p>
      <w:r>
        <w:t>Deep learning with model-guided selection for inferring chaotic dynamics in short noisy frog heart time series</w:t>
      </w:r>
    </w:p>
    <w:p>
      <w:r>
        <w:t xml:space="preserve"> </w:t>
      </w:r>
    </w:p>
    <w:p>
      <w:pPr>
        <w:pStyle w:val="Heading2"/>
      </w:pPr>
      <w:r>
        <w:t>Short Hypothesis</w:t>
      </w:r>
    </w:p>
    <w:p>
      <w:r>
        <w:t>Adding a mechanistic latent-dynamics prior and a differentiable FTLE (finite-time Lyapunov exponent) loss to a deep encoder, plus model-guided active selection, causes FTLE estimates on 2–10 s noisy frog heart windows to achieve ±0.1 nat/s error and regime-classification AUC &gt; 0.85 under leave-one-heart-out validation.</w:t>
      </w:r>
    </w:p>
    <w:p>
      <w:r>
        <w:t xml:space="preserve"> </w:t>
      </w:r>
    </w:p>
    <w:p>
      <w:pPr>
        <w:pStyle w:val="Heading2"/>
      </w:pPr>
      <w:r>
        <w:t>Related Work</w:t>
      </w:r>
    </w:p>
    <w:p>
      <w:r>
        <w:t>Classical chaos-detection methods use phase-space reconstruction and finite-difference FTLE or recurrence quantification analysis (RQA). These work on long, clean recordings but degrade on short, noisy windows and when stimulation artifacts exist. Standard deep-learning classifiers (CNNs) can learn patterns from time series but often overfit small biological datasets and lack calibrated dynamical invariants. Model-based synthetic-data approaches improve realism but face sim-to-real gaps in spectral content (PSD), noise statistics, and artifacts. Differentiable dynamical modules and latent ODEs embed dynamics into learned representations, but prior work rarely couples differentiable Lyapunov estimates, explicit model ensembles, and real-time active selection in constrained wet-lab loops. Open issues: short-window bias of FTLE estimators, domain gap between synthetic and ex-vivo signals, instability of Jacobian-based gradients, per-heart clustering effects, and lack of pre-registered selection/safety rules.</w:t>
      </w:r>
    </w:p>
    <w:p>
      <w:r>
        <w:t xml:space="preserve"> </w:t>
      </w:r>
    </w:p>
    <w:p>
      <w:pPr>
        <w:pStyle w:val="Heading2"/>
      </w:pPr>
      <w:r>
        <w:t>Abstract</w:t>
      </w:r>
    </w:p>
    <w:p>
      <w:r>
        <w:t>We address reliable detection and quantification of chaotic cardiac dynamics in short (2–10 s), noisy ex-vivo frog heart recordings. Standard chaos tests and naive deep networks fail under short windows and experimental artifacts. We propose a method that trains a compact encoder to map short windows into a low-dimensional latent state whose dynamics combine a mechanistic model prior and a small neural residual. A differentiable FTLE estimator computed on latent trajectories is integrated into the loss to enforce dynamical invariants. We generate synthetic ensembles from multiple compact cardiac-like models with controlled noise and artifacts to pretrain and guide selection. An active, model-guided acquisition policy selects perturbations that maximize expected information gain per usable-window cost. Contributions: (1) a reproducible pipeline combining physics-guided latent dynamics with a differentiable chaos loss, (2) a sim-to-real transfer and selection protocol for short noisy windows, and (3) pre-registered evaluation criteria (FTLE tolerance and AUC) enabling rigorous validation. Expected outcome: improved, uncertainty-aware chaos inference in constrained biological experiments.</w:t>
      </w:r>
    </w:p>
    <w:p>
      <w:r>
        <w:t xml:space="preserve"> </w:t>
      </w:r>
    </w:p>
    <w:p>
      <w:pPr>
        <w:pStyle w:val="Heading2"/>
      </w:pPr>
      <w:r>
        <w:t>Methodology</w:t>
      </w:r>
    </w:p>
    <w:p>
      <w:r>
        <w:t>1) Data ingestion and QC: extract 2–10 s windows from recordings and compute SNR, PSD slope (power spectral density slope), and mark stim timestamps and artifact flags. PSD slope is the slope of power vs frequency on a log scale; it characterizes signal roughness. 2) Synthetic generator: implement three compact model families (modified FitzHugh–Nagumo with slow adaptation, Hindmarsh–Rose variant, weakly coupled 3-node chain) and generate labeled windows with variable 1/f noise, baseline wander, and stimulation spikes. 3) Encoder and latent dynamics: build a 1D residual CNN encoder to map raw windows to a low-dimensional latent z (size 3–8). Learn latent-step dynamics as v(z,t)=f_mech(z;θ_mech)+r_φ(z,t) where f_mech is a parameterized mechanistic vector field and r_φ is a small neural residual. Explain: vector field means rules that map a state to its rate of change. 4) Differentiable FTLE: compute finite-time Lyapunov exponents by integrating the variational equations alongside latent trajectories (stabilized RK4 with Jacobian regularization). FTLE measures how fast nearby trajectories diverge; it is a scalar per window. Make FTLE differentiable so gradients flow into encoder and residual. 5) Losses: combine reconstruction/prediction loss, dynamics-consistency loss (match latent step to f_mech+r), FTLE-consistency loss (match latent FTLE to synthetic or surrogate targets), and domain-adaptation terms (PSD-matching augmentation, MMD or adversarial loss to align synthetic and real marginals). Explain MMD: a distance between distributions. 6) Domain adaptation and curriculum: pretrain on heavily randomized synthetic windows, progressively reduce augmentation gap (curriculum), then fine-tune on small real pilot windows. 7) Active selection: define per-candidate-window score = expected reduction in FTLE uncertainty (information gain) divided by expected usable-window cost (probability window is usable after artifacts). Use an ensemble of models to approximate uncertainty; select highest score under perturbation budget and latency constraints. 8) Training and instrumentation: log sim-to-real metrics (Wasserstein distance on PSDs, SNR histograms), FTLE bootstrap uncertainty, and latency per inference. 9) Validation: use surrogate tests (IAAFT) and ensemble bootstrap to produce p-values and CI for FTLE estimates.</w:t>
      </w:r>
    </w:p>
    <w:p>
      <w:r>
        <w:t xml:space="preserve"> </w:t>
      </w:r>
    </w:p>
    <w:p>
      <w:pPr>
        <w:pStyle w:val="Heading2"/>
      </w:pPr>
      <w:r>
        <w:t>Experiments</w:t>
      </w:r>
    </w:p>
    <w:p>
      <w:r>
        <w:t>Datasets: 1) Synthetic: 100k labeled 2–10 s windows from the three model families with annotated ground-truth FTLE and regime labels; noise exponents β∈[0,2], stimulation artifacts, baseline drift. 2) Pilot real: ex-vivo frog heart pilot with 3–5 hearts, ~200 windows/heart annotated with stim timestamps, blanked/unblanked versions. 3) Final real: 15–30 hearts for population claims. Baselines: (A) Finite-difference FTLE from time-delay embedding, (B) RQA features + classifier, (C) naive 1D CNN classifier trained end-to-end, (D) encoder+dynamics without physics prior, (E) encoder+dynamics without FTLE loss. Evaluation metrics: FTLE estimation error (mean absolute error, target ±0.1 nat/s), bootstrap FTLE CI width per heart (target ≤0.05), regime-classification AUC under leave-one-heart-out CV (target &gt;0.85), usable-window yield (%), sim-to-real domain gap (Wasserstein on PSDs), inference latency percentiles (P50,P95), and false-positive rate controlled under temporally clustered windows (use cluster-aware FDR or permutation cluster tests). Experimental setup: pretrain on synthetic, domain-adapt via PSD-matched augmentations and adversarial loss, then fine-tune on pilot real. Cross-validation: leave-one-heart-out for all real evaluations; ensure no windows from the test heart appear in training or selection policy fitting. Surrogate tests: per-window IAAFT with ≥1000 surrogates to compute p-values and Monte Carlo FTLE null distribution. Ablation studies: 1) remove mechanistic prior vs full model (compare FTLE MAE and AUC), 2) remove FTLE loss vs full model, 3) domain adaptation ablation (with/without PSD-matching), 4) active selection vs random or greedy selection in simulation measuring information gain per perturbation under usable-window yields of 10%, 20%, 30%. Report computational cost (FLOPs, memory) and worst-case end-to-end latency for closed-loop decisions.</w:t>
      </w:r>
    </w:p>
    <w:p>
      <w:r>
        <w:t xml:space="preserve"> </w:t>
      </w:r>
    </w:p>
    <w:p>
      <w:pPr>
        <w:pStyle w:val="Heading2"/>
      </w:pPr>
      <w:r>
        <w:t>Risk Factors And Limitations</w:t>
      </w:r>
    </w:p>
    <w:p>
      <w:r>
        <w:t>1) Short, noisy windows may produce biased or high-variance FTLE estimates, especially for low SNR or high stimulation density. 2) Stimulation artifacts and blanking reduce usable-window yield, causing reduced effective sample size and increased ICC (clustering by heart). 3) Sim-to-real gap: synthetic models may not capture all real noise/artifact modes, causing domain-adaptation failure. 4) Numerical instability in differentiable FTLE: Jacobian estimation and integrator step choice can produce exploding gradients or biased estimates. 5) Small dataset overfitting: deep components may overfit pilot data, inflating reported AUC without proper leave-heart-out splitting. 6) Selection bias: closed-loop active selection can bias downstream evaluation if selection and testing are not strictly separated. 7) Compute and latency constraints: ensemble FTLE bootstrap may exceed real-time budgets and prevent closed-loop operation. 8) Limited generalization: methods tuned on frog heart signals may not transfer to other species or different recording modalities. 9) Ethical and viability constraints: ex-vivo protocols limit perturbation budgets and session length, restricting data volume.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