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moma_ac_framework</w:t>
      </w:r>
    </w:p>
    <w:p>
      <w:r>
        <w:t xml:space="preserve"> </w:t>
      </w:r>
    </w:p>
    <w:p>
      <w:pPr>
        <w:pStyle w:val="Heading2"/>
      </w:pPr>
      <w:r>
        <w:t>Title</w:t>
      </w:r>
    </w:p>
    <w:p>
      <w:r>
        <w:t>A preference-conditioned multi-headed actor–critic framework for continuous multi-objective multi-agent reinforcement learning</w:t>
      </w:r>
    </w:p>
    <w:p>
      <w:r>
        <w:t xml:space="preserve"> </w:t>
      </w:r>
    </w:p>
    <w:p>
      <w:pPr>
        <w:pStyle w:val="Heading2"/>
      </w:pPr>
      <w:r>
        <w:t>Short Hypothesis</w:t>
      </w:r>
    </w:p>
    <w:p>
      <w:r>
        <w:t>Conditioning a single multi-headed deterministic actor per agent on objective preferences and training it with a centralized twin-critic (TD3/DDPG) and stratified replay will produce a learned policy family that attains higher hypervolume on the Pareto front than single-head actors or equivalent-budget specialized single-preference policies under the same sample budget.</w:t>
      </w:r>
    </w:p>
    <w:p>
      <w:r>
        <w:t xml:space="preserve"> </w:t>
      </w:r>
    </w:p>
    <w:p>
      <w:pPr>
        <w:pStyle w:val="Heading2"/>
      </w:pPr>
      <w:r>
        <w:t>Related Work</w:t>
      </w:r>
    </w:p>
    <w:p>
      <w:r>
        <w:t>Existing approaches to multi-objective reinforcement learning (MORL) commonly fall into two families: (1) scalarization-based methods that convert vector rewards into scalar returns using linear or nonlinear weightings, and (2) multi-policy methods that train separate agents per preference. In multi-agent settings, CTDE (centralized training with decentralized execution) actor-critic methods (e.g., centralized critics with decentralized actors) are widely used for stability and credit assignment. Prior single-policy conditioning methods use latent preference inputs to represent multiple trade-offs within one network, but they often struggle when the mapping from preference to optimal policy is multimodal (multiple distinct actions for the same preference). Mixture-of-experts and multi-headed architectures increase representational capacity but can introduce routing instability or underused components. Linear scalarization guarantees only the convex hull of the Pareto front, leaving nonconvex regions uncovered unless nonlinear scalarizations or ensembles are used. Many prior works also lack standardized, reproducible evaluation pipelines and concrete replay or normalization protocols for multi-objective multi-agent continuous control.</w:t>
      </w:r>
    </w:p>
    <w:p>
      <w:r>
        <w:t xml:space="preserve"> </w:t>
      </w:r>
    </w:p>
    <w:p>
      <w:pPr>
        <w:pStyle w:val="Heading2"/>
      </w:pPr>
      <w:r>
        <w:t>Abstract</w:t>
      </w:r>
    </w:p>
    <w:p>
      <w:r>
        <w:t>We address continuous multi-objective multi-agent reinforcement learning (MOMARL) where each agent must trade off multiple simultaneous objectives. We propose a preference-conditioned actor–critic framework that encodes Pareto trade-offs within a single neural policy per agent. Each actor uses a shared trunk and multiple heads together with a learned embedding of an objective preference vector; critics are centralized and output per-objective Q-values (twin critics as in TD3/DDPG). Training leverages preference stratified replay, a preference-sampling curriculum (corner-heavy Dirichlet anneal), and optional regularizers to encourage head specialization and preference identifiability. The framework is instantiated with TD3 and DDPG updates and evaluated using a continuous MOMARL test suite. The main contribution is a practical, reproducible pipeline that aims to represent a wide set of Pareto-optimal policies inside single conditioned networks, reducing the need for many specialized agents while preserving sample efficiency. Expected outcomes are higher hypervolume and better Pareto coverage under fixed sample budgets, with detailed diagnostics for conditioning fidelity and reproducibility.</w:t>
      </w:r>
    </w:p>
    <w:p>
      <w:r>
        <w:t xml:space="preserve"> </w:t>
      </w:r>
    </w:p>
    <w:p>
      <w:pPr>
        <w:pStyle w:val="Heading2"/>
      </w:pPr>
      <w:r>
        <w:t>Methodology</w:t>
      </w:r>
    </w:p>
    <w:p>
      <w:r>
        <w:t>Architecture: For each agent build an actor network with a shared trunk and K heads. The actor input is the agent's local observation plus a learned embedding of the preference vector w (a simplex of nonnegative weights summing to one). Each head outputs a complete continuous action; the final action is chosen by soft sparse attention over heads conditioned on Emb(w). Explain: embedding is a small neural network that converts the preference vector into a compact numeric feature. Soft sparse attention computes a weighted combination of heads favoring a small number of heads. Critic: use a centralized critic per agent that observes global state and joint actions and returns an M-dimensional Q-vector (one Q per objective). Use twin critics (two networks) and take the elementwise minimum for TD target stability. Training loop: follow TD3/DDPG style updates: sample minibatches from a replay buffer storing (global_state, joint_obs, joint_action, reward_vector, next_global_state, done, w). Compute per-objective TD targets using twin target critics and target actor with target smoothing noise. Critic loss is mean-squared error across objectives and critics. Actor loss is negative expected scalarized Q: -E[w · Q_agent(s, actor(s,w))] plus optional regularizers. Preference sampling and curriculum: sample w from a Dirichlet distribution with alpha that starts small (corner emphasis) and anneals to 1.0. Replay: stratified sampling by preference buckets so each minibatch contains diverse w. Normalization: apply per-objective running mean/variance to rewards and PopArt normalization on critic outputs (PopArt rescales network outputs to keep learning stable when target scales differ). Regularizers: a head separation loss to encourage distinct head outputs, and an InfoNCE-style auxiliary loss to predict w from short trajectories to improve identifiability. Routing ablations: soft attention vs Gumbel-softmax hard routing. Hyperparameters (suggested): K in {1,4,8}, Emb dim 32, batch 256, replay size 1e6, actor lr 1e-4, critic lr 1e-3, polyak tau 0.005, policy delay 2, target noise std 0.2 clip 0.5. Explain: twin critics are two critics trained independently to reduce overestimation; PopArt rescales outputs so critic learning is not biased by objective scale differences.</w:t>
      </w:r>
    </w:p>
    <w:p>
      <w:r>
        <w:t xml:space="preserve"> </w:t>
      </w:r>
    </w:p>
    <w:p>
      <w:pPr>
        <w:pStyle w:val="Heading2"/>
      </w:pPr>
      <w:r>
        <w:t>Experiments</w:t>
      </w:r>
    </w:p>
    <w:p>
      <w:r>
        <w:t>Datasets / Tasks: use a continuous MOMARL test suite of simulated control tasks with multiple agents (N variable) and multiple objectives (M=2..4). Define three task sizes: small (N=2, M=2), medium (N=4, M=3), and large (N=6, M=3). Baselines: (1) specialized single-preference TD3/DDPG policies trained independently per preference; (2) conditional latent policy (single-headed actor concatenating Emb(w)); (3) mixture-of-experts conditional policy; (4) centralized scalarized TD3 (per-weight scalarization runs); (5) existing MOMARL methods adapted to continuous control (e.g., multi-objective MADDPG-style). Evaluation metrics: primary Hypervolume (HV) with a fixed reference point and IGD+; secondary Pareto coverage, spacing/diversity, Pareto regret per preference, AUC-HV (sample efficiency), preference reconstruction MAE, head-utilization entropy, and Lipschitz proxy for w→action/returns. Setup: per-run 5e6 environment steps, replay_size 1e6, batch 256, evaluate on a fixed grid of 200 simplex points (include corners) for M≤3, 5 deterministic episodes per grid point, evaluation every 100k steps. Seeds: pilot 6 seeds per condition; final ≥20 seeds per condition. Ablation study: vary K in {1,4,8}, regularizers on/off (head separation, InfoNCE), PopArt on/off, routing soft vs Gumbel, and replay correction on/off (stratified partitions vs none). Scalarization comparison: linear vs augmented Chebyshev vs min-max. Statistical tests: report bootstrap 95% CIs (1000 resamples) for HV and IGD+, perform nonparametric pairwise tests (Mann–Whitney U) and Friedman/Nemenyi for multi-condition comparisons. Pilot compute estimate: ~8 GPU-hours per seed on an A100 for medium tasks; report actual wall-time and GPU usage per run.</w:t>
      </w:r>
    </w:p>
    <w:p>
      <w:r>
        <w:t xml:space="preserve"> </w:t>
      </w:r>
    </w:p>
    <w:p>
      <w:pPr>
        <w:pStyle w:val="Heading2"/>
      </w:pPr>
      <w:r>
        <w:t>Risk Factors And Limitations</w:t>
      </w:r>
    </w:p>
    <w:p>
      <w:r>
        <w:t>1) Reward normalization sensitivity: improper per-objective normalization or PopArt misconfiguration can bias critics and metrics. 2) Nonconvex Pareto coverage: linear scalarization cannot recover nonconvex regions; even nonlinear scalarizations may fail without ensembles or multimodal mappings. 3) Importance sampling instability: IS weights p_train(w)/p_buffer(w) can have high variance and destabilize updates. 4) Centralized critic scaling: critic input size grows with agent count and joint action dimensionality, increasing memory and compute; may not scale to large N. 5) Partial observability: CTDE assumes critics see sufficient global state during training; limited observability may reduce performance. 6) Head underuse or collapse: multi-headed architectures may leave heads unused, reducing effective capacity. 7) Preference-to-policy multimodality: a single deterministic mapping w→policy may be insufficient when multiple disjoint policies are optimal for the same w. 8) Evaluation cost at M&gt;3: simplex grid explosion makes dense evaluation and HV computation costly for many objectives. 9) Deterministic flags tradeoffs: enforcing deterministic GPU ops may slow training or fail on some primitives. 10) Statistical power: small seed counts may not detect moderate effects; many seeds are needed for publication-level claims. 11) Diagnostics overhead: computing Shapley-like credits, Jacobians, and replay snapshots increases memory and compute during experiments.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