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sim2real_coda_mcc_byol</w:t>
      </w:r>
    </w:p>
    <w:p>
      <w:r>
        <w:t xml:space="preserve"> </w:t>
      </w:r>
    </w:p>
    <w:p>
      <w:pPr>
        <w:pStyle w:val="Heading2"/>
      </w:pPr>
      <w:r>
        <w:t>Title</w:t>
      </w:r>
    </w:p>
    <w:p>
      <w:r>
        <w:t>A self-supervised domain adaptation framework combining BYOL, domain adversarial training, and minimum class confusion for concrete damage classification from synthetic and experimental coda-wave data</w:t>
      </w:r>
    </w:p>
    <w:p>
      <w:r>
        <w:t xml:space="preserve"> </w:t>
      </w:r>
    </w:p>
    <w:p>
      <w:pPr>
        <w:pStyle w:val="Heading2"/>
      </w:pPr>
      <w:r>
        <w:t>Short Hypothesis</w:t>
      </w:r>
    </w:p>
    <w:p>
      <w:r>
        <w:t>Combining large-scale synthetic coda-wave data from multiscale ultrasonic simulations with a joint self-supervised and adversarial domain-adaptation training objective (BYOL + DANN + MCC) will increase balanced accuracy on unlabeled experimental concrete damage classification by at least 10 percentage points relative to a synthetic-only supervised baseline on the same experimental test set.</w:t>
      </w:r>
    </w:p>
    <w:p>
      <w:r>
        <w:t xml:space="preserve"> </w:t>
      </w:r>
    </w:p>
    <w:p>
      <w:pPr>
        <w:pStyle w:val="Heading2"/>
      </w:pPr>
      <w:r>
        <w:t>Related Work</w:t>
      </w:r>
    </w:p>
    <w:p>
      <w:r>
        <w:t>Prior work either uses physics simulations to augment training or applies single-method domain adaptation or self-supervised learning for sensor data. Simulation-only approaches provide labeled synthetic examples but often fail to generalize because of sensor, coupling, and environmental mismatches. Single-method domain adaptation (for example adversarial alignment) can over-align and cause negative transfer when class boundaries differ across domains. Self-supervised methods (contrastive or bootstrap-type like BYOL) improve representation robustness but do not by themselves guarantee class separation on the target domain. Pseudo-labeling helps exploit unlabeled target data but is vulnerable to confirmation bias when labels are noisy or imbalanced. Existing combinations lack explicit class-confusion minimization and statistically principled negative-transfer detection, and they often omit realistic coda-wave augmentations and simulator rendering of sensor/DAQ effects.</w:t>
      </w:r>
    </w:p>
    <w:p>
      <w:r>
        <w:t xml:space="preserve"> </w:t>
      </w:r>
    </w:p>
    <w:p>
      <w:pPr>
        <w:pStyle w:val="Heading2"/>
      </w:pPr>
      <w:r>
        <w:t>Abstract</w:t>
      </w:r>
    </w:p>
    <w:p>
      <w:r>
        <w:t>We present a simulation-driven, self-supervised domain adaptation framework to classify concrete damage from coda-wave ultrasonic recordings. The approach uses a virtual testing platform to generate diversified, labeled synthetic coda-wave datasets via multiscale degradation and ultrasonic simulations. At training time we (1) pretrain an encoder with BYOL (a bootstrap self-supervised method), (2) apply domain adversarial training (DANN) to align source and target embeddings, and (3) minimize class confusion on the unlabeled target via a Minimum Class Confusion (MCC) loss. We add controlled pseudo-labeling after stabilization and statistical negative-transfer detectors using bootstrap CIs on domain-AUC, MMD, and embedding eigenvalue ratios. The main contribution is the joint loss and operational decision rules that reliably transfer simulation knowledge to unlabeled experimental data with reduced dependence on target labels. The expected outcome is reproducible, measurable gains in balanced accuracy and calibrated uncertainty for real concrete damage classification while providing transparent triggers for rollback and active labeling.</w:t>
      </w:r>
    </w:p>
    <w:p>
      <w:r>
        <w:t xml:space="preserve"> </w:t>
      </w:r>
    </w:p>
    <w:p>
      <w:pPr>
        <w:pStyle w:val="Heading2"/>
      </w:pPr>
      <w:r>
        <w:t>Methodology</w:t>
      </w:r>
    </w:p>
    <w:p>
      <w:r>
        <w:t>1) Synthetic data generation: produce a labeled synthetic dataset using multiscale ultrasonic solvers. Parameterize damage priors: microcrack fraction (0–0.5%), crack lengths (Weibull 0.1–200 mm), porosity (2–20%), stiffness reduction (0–40%), correlation lengths (1–50 mm). Render sensor effects: convolve signals with transducer impulse responses, add DAQ anti-alias filtering, sample at target rate (≥1 MHz), and inject coupling variability and additive noise. 2) Preprocessing: apply consistent denoising (wavelet thresholding), time gating to isolate coda tails, amplitude normalization (anchor to calibration trace), and compute time-frequency representations (STFT) and physics summaries (coda decay slope, PSD centroid, cross-correlation with baseline). 3) Model architecture: encoder backbone (1D CNN or ResNet-1D) producing 256-d embeddings; projector for BYOL (two-layer MLP) and a classifier head (softmax over K classes). 4) Self-supervised &amp; supervised losses: BYOL pretraining for 5–10 epochs on combined source+target unlabeled data; supervised cross-entropy on labeled synthetic source. 5) Domain adaptation: apply DANN with a gradient-reversal layer; adversarial weight λ_adv scheduled from 0→λ_adv_max over warm-up. 6) Minimum Class Confusion (MCC): compute confusion matrix C on target batch with soft preds p(x), C_ij=(1/N)Σ p_i p_j; loss L_mcc = Σ_{i≠j} C_ij^2 + α·(1/K)Σ_k H(p_k) where H is entropy. Add class-balance regularizer L_cb = β·KL(p_mean||Uniform). 7) Pseudo-labeling: after stabilization (epoch 20–50) apply temperature-scaled calibration; accept pseudo-labels with calibrated confidence ≥τ and per-class minimum support ≥5; weight pseudo-loss w_pseudo ramped up to 0.1× supervised. 8) Augmentations for coda waves: time-shift (small shifts), amplitude scaling, band-limited noise injection, random notch (band-stop) filtering, time-frequency masking on spectrograms; justify invariances by ablation. 9) Negative-transfer detection: compute bootstrap (n=1000 resamples) 95% CIs for domain-AUC, MMD, and eigenvalue ratio; trigger mitigations only if observed metric change lies outside CI and relative effect-size ≥10%. 10) Training details: optimizer AdamW, lr 1e-3 with cosine decay, batch size 64, embedding dim 256, BYOL projector dim 512, λ_adv_max ∈ [0.1,1.0], λ_mcc ∈ [0.1,0.5], train for 100 epochs, run 5 random seeds for reproducibility.</w:t>
      </w:r>
    </w:p>
    <w:p>
      <w:r>
        <w:t xml:space="preserve"> </w:t>
      </w:r>
    </w:p>
    <w:p>
      <w:pPr>
        <w:pStyle w:val="Heading2"/>
      </w:pPr>
      <w:r>
        <w:t>Experiments</w:t>
      </w:r>
    </w:p>
    <w:p>
      <w:r>
        <w:t>Datasets: Synthetic dataset (1k pilot samples and optionally 10k for scale) generated by simulator with priors above; Experimental unlabeled set: 10–20 specimens with multiple acquisitions each (total ≥200 target recordings); Labeled experimental holdouts for evaluation: initial budgets of 50 and 100 samples and powered sets at 300–500 samples for final comparison. Baselines: (A) synthetic-only supervised; (B) BYOL-only pretrain + linear probe; (C) DANN-only; (D) MCC-only; (E) BYOL+DANN; (F) BYOL+DANN+MCC; (G) full pipeline + pseudo-labeling. Evaluation metrics: balanced accuracy (primary), macro-F1, AUC, Brier score, expected calibration error (ECE), domain-gap measures (MMD and Wasserstein-1 on embeddings), and per-class recall. Statistical testing: bootstrap CI with 1000 resamples for metrics; compare methods by non-overlapping 95% CIs and permutation tests (n=2000) with multiple-comparison correction (Benjamini-Hochberg FDR). MMD details: use RBF kernel and multi-kernel ensemble (bandwidths = median heuristic and ±factors 0.5,2); bootstrap MMD uncertainty with 1000 resamples. Training setup: 5 seeds per variant, single GPU pilot (train ~50–200 GPU·hr), batch size 64, run ablation seeds across labeled budgets (50,100,300). Ablation studies: 1) augmentation ablation (remove each augmentation family); 2) loss ablation (remove BYOL, DANN, MCC individually and in combinations); 3) pseudo-label schedule ablation (vary τ 0.95→0.9 and w_pseudo max 0.05 vs 0.1); 4) MMD kernel ablation (single RBF vs multi-kernel). Report per-variant metric means, 95% bootstrap CIs, and effect sizes; record negative-transfer alarms and mitigations invoked per run.</w:t>
      </w:r>
    </w:p>
    <w:p>
      <w:r>
        <w:t xml:space="preserve"> </w:t>
      </w:r>
    </w:p>
    <w:p>
      <w:pPr>
        <w:pStyle w:val="Heading2"/>
      </w:pPr>
      <w:r>
        <w:t>Risk Factors And Limitations</w:t>
      </w:r>
    </w:p>
    <w:p>
      <w:r>
        <w:t>1) Simulator mismatch: synthetic signals may fail to capture unmodeled experimental effects (unknown boundary conditions or manufacturing variability). 2) Negative transfer: adversarial alignment can collapse class separation, harming target accuracy. 3) Pseudo-label confirmation bias: incorrect pseudo-labels may reinforce errors, especially under severe class imbalance. 4) Class imbalance: rare damage classes may have insufficient target support for reliable pseudo-labeling and power for per-class metrics. 5) Computational cost: high-fidelity simulations and large-scale training require significant CPU/GPU resources and storage. 6) Statistical multiple comparisons: large ablation matrix increases false-discovery risk if not corrected. 7) Measurement noise and coupling variability in experiments can dominate domain gap and limit gains from adaptation. 8) Limited labeled experimental data: small labeled holdouts may yield high-variance estimates and underpowered tests for small effect sizes. 9) Generalization limits: methods tuned to lab specimens may not transfer directly to field-scale structures or different sensor types.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