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reflex_htm_cam</w:t>
      </w:r>
    </w:p>
    <w:p>
      <w:r>
        <w:t xml:space="preserve"> </w:t>
      </w:r>
    </w:p>
    <w:p>
      <w:pPr>
        <w:pStyle w:val="Heading2"/>
      </w:pPr>
      <w:r>
        <w:t>Title</w:t>
      </w:r>
    </w:p>
    <w:p>
      <w:r>
        <w:t>Hardware‑accelerated reflex memory integrated with Hierarchical Temporal Memory for low‑latency first‑order sequence inference in IoT streams</w:t>
      </w:r>
    </w:p>
    <w:p>
      <w:r>
        <w:t xml:space="preserve"> </w:t>
      </w:r>
    </w:p>
    <w:p>
      <w:pPr>
        <w:pStyle w:val="Heading2"/>
      </w:pPr>
      <w:r>
        <w:t>Short Hypothesis</w:t>
      </w:r>
    </w:p>
    <w:p>
      <w:r>
        <w:t>Adding a compact, hardware content‑addressable reflex memory that returns top‑1 first‑order predictions and biases HTM via a thresholded arbitration rule will reduce first‑order inference latency by at least 1.5× on repetitive IoT streams while changing multiorder prediction accuracy by no more than 2 percentage points.</w:t>
      </w:r>
    </w:p>
    <w:p>
      <w:r>
        <w:t xml:space="preserve"> </w:t>
      </w:r>
    </w:p>
    <w:p>
      <w:pPr>
        <w:pStyle w:val="Heading2"/>
      </w:pPr>
      <w:r>
        <w:t>Related Work</w:t>
      </w:r>
    </w:p>
    <w:p>
      <w:r>
        <w:t>Sequence memory methods based on Hierarchical Temporal Memory (HTM) provide unsupervised multiorder temporal inference but require heavy programmable interconnects and distal computations that slow first‑order predictions in highly repetitive streams. Prior accelerations use software caches or learned short‑term predictors; these reduce latency but lack hardware parity, deterministic arbitration semantics, and bounded staleness for concurrent updates. Content‑addressable memory (CAM) hardware supports constant‑time associative lookup but introduces key collision (aliasing) challenges and area/energy tradeoffs. Spinal‑cord inspired reflex mechanisms have been proposed conceptually to speed simple, repeatable responses but have not been formalized as a bounded, versioned transition table with provable misbias and collision bounds. Open issues remain: (1) deterministic RM–HTM interfaces and unit tests for HW/SW parity; (2) analytical bounds on misbias and hit/miss under drift; (3) concrete CAM collision models for truncated keys and checksum verification; and (4) quantification of top‑k selector costs versus robustness.</w:t>
      </w:r>
    </w:p>
    <w:p>
      <w:r>
        <w:t xml:space="preserve"> </w:t>
      </w:r>
    </w:p>
    <w:p>
      <w:pPr>
        <w:pStyle w:val="Heading2"/>
      </w:pPr>
      <w:r>
        <w:t>Abstract</w:t>
      </w:r>
    </w:p>
    <w:p>
      <w:r>
        <w:t>We address slow first‑order sequence inference in Hierarchical Temporal Memory (HTM) when processing repetitive Internet‑of‑Things (IoT) data by introducing a compact Reflex Memory (RM) block and a hardware content‑addressable memory (CAM) implementation. The RM stores bounded first‑order transitions as (p, q, w, t_last) entries and answers fixed‑width key queries with a top candidate and confidence. An arbitration rule fuses RM score and HTM score to bias fast proximal gating while preserving HTM multiorder inference. The main contribution is a reproducible blueprint combining: (1) formal RM data structures and deterministic update/eviction pseudocode; (2) a hardware‑friendly CAM microarchitecture parameterized by bank count, entries per bank, and key width; and (3) evaluation targets and metrics for latency, energy, hit/miss, aliasing, and multiorder fidelity. Expected outcome: an accelerated HTM (AHTM) design that achieves significant first‑order speedups on repetitive IoT streams with provable bounds on misbias and measurable collision rates, enabling low‑latency unsupervised edge processing without losing long‑range temporal reasoning.</w:t>
      </w:r>
    </w:p>
    <w:p>
      <w:r>
        <w:t xml:space="preserve"> </w:t>
      </w:r>
    </w:p>
    <w:p>
      <w:pPr>
        <w:pStyle w:val="Heading2"/>
      </w:pPr>
      <w:r>
        <w:t>Methodology</w:t>
      </w:r>
    </w:p>
    <w:p>
      <w:r>
        <w:t>1) Define RM data structures: transition table T with entries (p, q, w, t_last). p and q are fixed‑width keys (32 or 64 bits). w is a scalar weight; t_last is a timestamp. 2) Implement RM update rule: on observed transition (p,q) do if exists then w := w*(1-λ)+α and t_last := now else insert (p,q,w=α,t_last=now). 3) Implement deterministic eviction: periodically decay weights by γ, prune entries with w&lt;θ or age&gt;Δt, and on capacity K evict entry with minimum score_eviction = w*exp(-(now-t_last)/τ_age). 4) Implement RM_REQ/RM_RESP protocol: RM_REQ(key p) returns top‑1 candidate q* and confidence c normalized to [0,1], plus a version/t_last field for bounded staleness. 5) Design arbitration: compute sRM = c·w, obtain sTM from HTM proximal/distal activations; apply threshold gating: if sRM ≥ η·sTM then bias HTM proximal input toward q* scaled by bias_gain b; otherwise leave HTM unchanged. 6) CAM microarchitecture: map T to nb banks of m entries; each bank stores keys and small metadata (w,t_last). Use truncated‑prefix prefilter and a small checksum for verification before RM_RESP valid=true. 7) Hardware mapping: for FPGA map banks to BRAM tiles with simple comparator arrays; pipeline lookups to target 1–2 cycle steady latency. 8) Software reference: implement a cycle‑accurate RM+HTM simulator exposing RM_REQ/RM_RESP/RM_UPDATE/HTM_CTRL APIs and unit tests for versioning, eviction, and failover. 9) Verification: unit tests for atomicity (reads see committed snapshot), collision detection tests for truncated keys, and deterministic replay tests using seeded synthetic traces.</w:t>
      </w:r>
    </w:p>
    <w:p>
      <w:r>
        <w:t xml:space="preserve"> </w:t>
      </w:r>
    </w:p>
    <w:p>
      <w:pPr>
        <w:pStyle w:val="Heading2"/>
      </w:pPr>
      <w:r>
        <w:t>Experiments</w:t>
      </w:r>
    </w:p>
    <w:p>
      <w:r>
        <w:t>Datasets: 1) Synthetic generator: produce 100 deterministic streams of length 100k each with controlled motif lengths {2,4,8}, repetition rates {0.2,0.5,0.9}, noise levels {0%,5%,15%}, and drift episodes (sudden motif change at 50k). 2) Real IoT traces: curated set of 7 traces (3 building automation, 2 industrial sensor arrays, 2 vehicle telemetry) trimmed to 100k samples each and annotated for repetitive motifs. Baselines: (A) HTM‑only pinned implementation, (B) software RM+HTM (no CAM), (C) LSTM sequence predictor and (D) lightweight Transformer baseline. Hardware configs: nb ∈ {8,16,32}, m ∈ {256,512,1024}, key width ∈ {32,64} bits, top‑k ∈ {1,2}. Metrics: top‑1 and top‑k next‑pattern accuracy, multiorder accuracy for horizons L={4,8}, end‑to‑end latency (RM lookup, TM inference, arbitration), throughput (predictions/sec), energy per inference (µJ), RM hit/miss rate, aliasing false‑positive rate, and recovery time after drift (time to recover 95% of pre‑drift accuracy). Setup: run N=40 independent seeded trials per configuration; instrument cycle counters and energy sensors on FPGA prototype for HW measures. Statistical tests: paired t‑test or Wilcoxon signed‑rank (alpha=0.05) for latency and energy comparisons; report Cohen’s d and 95% CI. Acceptance thresholds: median first‑order latency speedup ≥1.5× vs HTM‑only, multiorder accuracy drop ≤2 percentage points, RM hit rate ≥70% on repetitive segments, aliasing false‑positive ≤5%. Ablations: (1) top‑1 vs top‑2 selection cost/benefit; (2) thresholded gating (η sweep) vs softmax fusion (temperature τ sweep); (3) decay regimes: fast (λ high) vs slow (λ low) and their effect on recovery time. Report per‑bank utilization and Pareto curves (latency vs energy vs accuracy).</w:t>
      </w:r>
    </w:p>
    <w:p>
      <w:r>
        <w:t xml:space="preserve"> </w:t>
      </w:r>
    </w:p>
    <w:p>
      <w:pPr>
        <w:pStyle w:val="Heading2"/>
      </w:pPr>
      <w:r>
        <w:t>Risk Factors And Limitations</w:t>
      </w:r>
    </w:p>
    <w:p>
      <w:r>
        <w:t>1) Aliasing: truncated key prefixes and limited keyspace M can cause collisions that produce false RM_RESP and catastrophic HTM misbias. 2) Drift sensitivity: RM may overfit recent repetitive patterns and bias HTM incorrectly during rapid nonstationarity. 3) Timing closure: achieving 1–2 cycle RM lookups on target FPGAs/ASICs may be infeasible given routing, BRAM ports, and pipeline depth. 4) Resource limits: BRAM/LUT budget may restrict bank count nb or entries m, reducing hit rates. 5) Energy overhead: frequent RM_UPDATE operations and verification steps may increase total energy if not amortized. 6) Generalization: benefits are limited to repetitive or low‑entropy streams; nonrepetitive data may see no speedup and possible degradation. 7) Concurrency/staleness: asynchronous RM_UPDATE and RM_REQ may create bounded staleness that affects correctness in tight timing regimes. 8) Evaluation bias: curated IoT traces may not reflect all deployment distributions, leading to optimistic results. 9) Biological mapping limits: mapping eligibility traces and time constants to spinal cord evidence is approximate and may not validate biological claims strictly.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