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adapkooppc_mixed_traffic</w:t>
      </w:r>
    </w:p>
    <w:p>
      <w:r>
        <w:t xml:space="preserve"> </w:t>
      </w:r>
    </w:p>
    <w:p>
      <w:pPr>
        <w:pStyle w:val="Heading2"/>
      </w:pPr>
      <w:r>
        <w:t>Title</w:t>
      </w:r>
    </w:p>
    <w:p>
      <w:r>
        <w:t>Adaptive deep Koopman predictive control for mitigating traffic oscillations in mixed traffic flow</w:t>
      </w:r>
    </w:p>
    <w:p>
      <w:r>
        <w:t xml:space="preserve"> </w:t>
      </w:r>
    </w:p>
    <w:p>
      <w:pPr>
        <w:pStyle w:val="Heading2"/>
      </w:pPr>
      <w:r>
        <w:t>Short Hypothesis</w:t>
      </w:r>
    </w:p>
    <w:p>
      <w:r>
        <w:t>Embedding an adaptive deep Koopman linearization of heterogeneous human-driven vehicle dynamics into a model predictive controller, with online RLS updates in a frozen encoder basis and Lipschitz-based constraint tightening, reduces traffic oscillation metrics (RMS spacing error and acceleration variance) by at least 15% relative to nonadaptive baselines in mixed traffic experiments.</w:t>
      </w:r>
    </w:p>
    <w:p>
      <w:r>
        <w:t xml:space="preserve"> </w:t>
      </w:r>
    </w:p>
    <w:p>
      <w:pPr>
        <w:pStyle w:val="Heading2"/>
      </w:pPr>
      <w:r>
        <w:t>Related Work</w:t>
      </w:r>
    </w:p>
    <w:p>
      <w:r>
        <w:t>Prior approaches to mitigating traffic oscillations include model-based MPC using linearized car-following models, classical adaptive control and follower-stopper rules, end-to-end learned controllers, and recent deep Koopman methods that learn lifted linear representations from data. Model-based MPC can be scalable but is limited by model mismatch for heterogeneous human drivers. Follower-stopper or heuristic controllers are simple and safe but provide limited oscillation reduction. End-to-end learning can capture nonlinear behavior but lacks interpretability, safety guarantees, and often fails real-time certification. Deep Koopman approaches provide linear predictors in a learned latent space enabling convex control designs, but existing work often treats the learned encoder as fixed, lacks principled online uncertainty propagation, and does not fully address delays, parameter-uncertainty ellipsoids, or runtime constraint tightening required for safe field deployment. Scalability to many vehicles and formal mapping from parameter covariance to worst-case model error remain open issues.</w:t>
      </w:r>
    </w:p>
    <w:p>
      <w:r>
        <w:t xml:space="preserve"> </w:t>
      </w:r>
    </w:p>
    <w:p>
      <w:pPr>
        <w:pStyle w:val="Heading2"/>
      </w:pPr>
      <w:r>
        <w:t>Abstract</w:t>
      </w:r>
    </w:p>
    <w:p>
      <w:r>
        <w:t>Traffic oscillations (stop-and-go waves) in mixed traffic with human-driven vehicles (HDVs) degrade safety and efficiency. We propose AdapKoopPC: an adaptive, data-driven control framework that learns a finite-dimensional linear latent representation of heterogeneous HDV car-following dynamics via a deep Koopman encoder and embeds that representation into a real-time model predictive controller for connected automated vehicles (CAVs). The encoder is trained offline on naturalistic and simulated data and its Lipschitz behavior is estimated. Online we freeze the encoder, run recursive least squares (RLS) to update the latent linear model (A,B) with a modest forgetting factor, and project updates to enforce closed-loop spectral-radius bounds. We map measurement noise, encoder Lipschitz bounds, and RLS covariance to horizon-wise tube tightenings used in the MPC. Delay is handled by latent-state stacking. The main contribution is a reproducible, scalable recipe that combines adaptive Koopman identification, principled uncertainty-to-tightening mapping, and a real-time MPC design to reduce oscillations in mixed traffic while preserving runtime safety monitors. Expected outcome: consistent oscillation reductions in simulation and hardware-in-loop tests with measurable real-time guarantees.</w:t>
      </w:r>
    </w:p>
    <w:p>
      <w:r>
        <w:t xml:space="preserve"> </w:t>
      </w:r>
    </w:p>
    <w:p>
      <w:pPr>
        <w:pStyle w:val="Heading2"/>
      </w:pPr>
      <w:r>
        <w:t>Methodology</w:t>
      </w:r>
    </w:p>
    <w:p>
      <w:r>
        <w:t>1) Data preparation: collect and preprocess naturalistic HDV data (spacing, relative speed, ego speed, driver id), simulator traces (SUMO/CARLA), and ring-road HIL logs. Create stratified regime labels (free-flow, synchronized, transient decel, stop-and-go, cut-in, emergency). 2) Offline AdapKoopNet training: train an encoder ψ(x) that maps measured state windows x to a latent z of dimension n (recommend n=6–12). The encoder is a neural network with spectral normalization to control Lipschitz constant. Train a linear predictor z_{t+1} ≈ A z_t + B u_t minimizing one-step residuals r_t and return ε_model per regime. 3) Lipschitz estimation: estimate L̂_ψ per regime by (a) spectral-norm power-iteration on Jacobians Jψ(x) on validation samples and (b) randomized finite-difference probing: apply bounded Δx and measure sup ||ψ(x+Δx)-ψ(x)||/||Δx||. Produce high-confidence upper bound L̂_ψ. 4) Online adaptation (safe default): freeze ψ online. Run RLS with forgetting factor λ∈[0.98,0.995] to update (A,B) in the latent basis. After each update project (A,B) to enforce spectral-radius(A+BK) ≤ 1-ε (or ≤1+δ if slight expansion allowed) and stabilizability. Cap per-update relative norm changes (e.g., ||ΔA||_F/||A||_F ≤ 0.1). 5) Uncertainty→tightening mapping: compute latent seed ζ0 = L̂_ψ·Δx + ε_model_z, where Δx is worst-case measurement perturbation. Use RLS covariance Σ_k to define a parameter ellipsoid {Δθ: Δθ' Σ_k^{-1} Δθ ≤ χ^2_df(1−α)} and compute worst-case model error sup_{Δθ in ellipsoid} ||Ψ(z,u) Δθ||_2 (solved offline or via small SDP / closed-form as sensitivity operator). Let δ_θ be that worst-case error. Compute closed-loop norm ρ = ||A_cl||_2 after projection. Horizon deviation e_i = sum_{j=0}^{i-1} ρ^j (ζ0 + δ_θ). Tighten linear output constraints C z ≤ b by τ_i = ||C||_2 · e_i and apply C z ≤ b - τ_i in MPC. 6) Delay handling: augment latent state by stacking past latent vectors (z_{t−k: t}) or a predictor chain; re-run RLS on augmented state. 7) MPC and real-time: implement a receding-horizon QP (OSQP) with horizon N=10–15, warm starts, and tube-tightening terms τ_i. Run encoder inference (ONNX/TensorRT), RLS, projection, and QP at control period 100–200 ms. 8) Runtime monitors and fallback: monitor Σ_k trace, encoder epistemic proxy, projection failures, and solver latency; fallback to conservative time-headway controller on faults. 9) Deliverables: code for L̂_ψ estimation, RLS+projection routines, τ_i computation, LMI templates for delay-augmented terminal sets, and ROS2 runtime nodes for HIL testing. Technical term explanations: "Koopman linearization" means learning a function ψ that maps nonlinear measured states into a space where dynamics evolve approximately linearly; "RLS" is recursive least squares, a method to update linear model parameters online using new data; "spectral radius" is the largest absolute eigenvalue of a matrix and controls stability.</w:t>
      </w:r>
    </w:p>
    <w:p>
      <w:r>
        <w:t xml:space="preserve"> </w:t>
      </w:r>
    </w:p>
    <w:p>
      <w:pPr>
        <w:pStyle w:val="Heading2"/>
      </w:pPr>
      <w:r>
        <w:t>Experiments</w:t>
      </w:r>
    </w:p>
    <w:p>
      <w:r>
        <w:t>Datasets: use NGSIM, HighD, SHRP2 for offline training and validation; generate augmented scenarios with SUMO/CARLA for cut-ins and rare events; perform HIL closed-course ring experiments for final validation. Splits: stratified 70/15/15 train/val/test by regime and driver, plus leave-one-driver-out folds (30-50 folds) and a 5-10% rare-event holdout. Baselines: (1) linearized MPC about nominal car-following (IDM/OVM), (2) follower-stopper heuristic, (3) end-to-end learned controller (policy net), (4) Koopman predictive control without online RLS adaptation, (5) human-only baseline (no CAV intervention). Metrics: RMS spacing error, acceleration variance, stop-and-go index (frequency/magnitude of waves), L2 and L∞ lead-to-spacing gain, constraint-violation rate, solver latency and jitter, and subjective comfort in HIL. Controller hyperparameters: control period 100–200 ms, horizon N=10–15, latent n=6–12, RLS λ∈[0.98,0.995], projection δ∈[0.01,0.05]. Number of trials: for each condition run ~500 Monte-Carlo closed-loop simulations; perform leave-one-driver-out evaluation across 30–50 driver folds. Ablations: A) encoder frozen vs encoder fine-tuned online with covariance reset; B) with vs without τ_i tightening; C) different n_eff (stacked delays) in {4,8,12,15}; D) Koopman w/ and w/o projection to spectral bound. Statistical analysis: compute bootstrap 95% CIs for metrics, test effect sizes (Cohen d) and significance (α=0.05). HIL staging: SIL→HIL→ring-road with safety drivers and the same metrics recorded. Report per-condition mean, CI, and runtime failure modes (fallback triggers).</w:t>
      </w:r>
    </w:p>
    <w:p>
      <w:r>
        <w:t xml:space="preserve"> </w:t>
      </w:r>
    </w:p>
    <w:p>
      <w:pPr>
        <w:pStyle w:val="Heading2"/>
      </w:pPr>
      <w:r>
        <w:t>Risk Factors And Limitations</w:t>
      </w:r>
    </w:p>
    <w:p>
      <w:r>
        <w:t>1) Model mismatch and finite-sample uncertainty: ε_model and L̂_ψ estimates are sample-dependent and may be loose; finite-sample guarantees are conservative or absent. 2) Ellipsoid approximation and conservatism: mapping Σ_k to worst-case model error requires solving a sensitivity optimization. Approximations can be conservative and reduce performance. 3) Heavy-tailed or rare events: bounded deterministic tube models may not cover extreme cut-ins or braking; stochastic tail risk may cause constraint violations. 4) Encoder nonstationarity: online encoder changes can invalidate RLS covariance and cause instability; safe joint adaptation is complex. 5) Projection infeasibility: enforcing spectral-radius &lt;1 may be infeasible without harming prediction accuracy. 6) Real-time compute limits: worst-case solver jitter or hardware slowdowns may force frequent fallback and reduced benefits. 7) Data bias and coverage: naturalistic datasets may not cover all driver behaviors or scenarios, limiting generalization. 8) Safety monitor false positives/negatives: ROC thresholds must be tuned; miscalibration can cause unnecessary fallback or missed hazards. 9) Scalability: latent dimension growth when stacking delays increases computation and may limit deployment to larger platoons. 10) Evaluation limitations: ring-road and simulated tests may not fully reflect complex mixed-traffic field conditions; results may not transfer without further field trials.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