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hgmn_ssm_node_classification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Hypergraph Neural Network with State-Space Models for Node Classification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Adding per-node state-space memory and a learnable transformer-style fusion between role-based and adjacency-based hypergraph embeddings improves node classification performance compared to adjacency-only GNNs, provided the state transition operator has spectral radius &lt; 1.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Graph convolutional networks (GCNs, GATs) use pairwise edges and suffer from limited higher-order modeling and over-smoothing at depth. Hypergraph neural networks extend GNNs by using hyperedges (groups of nodes) to capture higher-order relations; existing hypergraph methods either expand cliques (costly), use fixed incidence hyperedges (limited adaptivity), or employ learned hyperedges that are often non-differentiable or unstable. Structural / role embeddings (methods that encode node roles or positional signatures) capture complementary non-local information but are rarely fused tightly with adjacency-based features. State-space and long-range sequence models provide efficient ways to retain history or memory but have seen limited, principled use per node in graph models. Limitations in prior work include lack of per-node stable memory, weak fusion of structural and adjacency streams, ad-hoc dynamic hyperedge updates that break gradients or cause centroid collapse, and few theoretical stability guarantees against over-smoothing.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node classification on graphs where higher-order relationships and node roles provide complementary information to local adjacency. We propose a Hypergraph Graph Neural Network (HGMN) that combines (1) hypergraph convolution to model higher-order interactions, (2) per-node state-space models (SSMs) that act as stable, learnable node memories, and (3) a transformer-style cross-attention fusion that adaptively merges adjacency-based and role-based embeddings. The fusion is gated per node to prevent destructive averaging, and residual connections with spectral control on the SSM transitions mitigate over-smoothing. The main contribution is an integrated architecture that jointly models roles, higher-order structure, and stable temporal-like memory per node, together with practical diagnostics for spectral radius, impulse-response, and hyperedge quality. We expect HGMN to yield improved classification accuracy and robustness on datasets with meaningful higher-order patterns, while providing measurable stability guarantees when the SSM spectral radius is constrained below one.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1. Data and role features: compute role-aware node features (examples: degree, k-core number, local motif counts, random-walk positional encodings). Role features are fixed vectors per node. 2. Hypergraph construction: implement three interchangeable modes: (a) static incidence: use domain groups as sparse incidence matrix H; (b) motif/clique-derived hyperedges: extract k-hop or motif groups and prune large groups; (c) learned dynamic: soft-assign nodes to K centroids using differentiable soft k-means or attention with temperature and optional top-k masking. Soft k-means means assignments A_ij ∝ exp(−||x_i−c_j||^2/τ) and centroids c_j = (Σ_i A_ij x_i)/(Σ_i A_ij). 3. Hypergraph convolution (HyperConv): implement sparse incidence-based propagation using H (incidence) and degree-normalization to produce adjacency-stream embeddings A_pre per node. The incidence operator multiplies H, diagonal hyperedge weights, and H^T using sparse gather/scatter. 4. Fusion block: for each node compute Q = linear(A_pre), K = linear(R), V = linear(R) and local multi-head cross-attention α = softmax(QK^T/√d_k) restricted to local K/V (hyperedge or neighborhood). F = concat_heads(αV). Compute gate g = sigmoid(MLP([A_pre, F, s_optional])) and fuse U = g ⊙ F + (1−g) ⊙ A_pre. 5. Per-node SSM memory: keep state vector s_i for each node. Update s_i ← A_ss s_i + B_ss U_i + b, where A_ss is parameterized to enforce spectral radius ≤ ρ_target (options: diagonal A_ss, symmetric-stable U diag(sigmoid(ω)·ρ_target) U^T, or explicit power-iteration clamp). 6. Residual and normalization: output A^{l+1}_i = LayerNorm(s_i + λ A^l_i) with learnable λ initialized ~0.3. 7. Mini-batch &amp; persistence: for each batch sample node set B, collect incident hyperedges E_B, remap local indices, load persisted s[B] (initialize unseen to zero), forward HyperConv→Fusion→SSM on B, and write updated s[B] back to GPU state_store. By default detach persisted states to avoid cross-batch backpropagation. 8. Diagnostics: compute spectral radius estimate via 5-step power iteration, impulse-response by injecting delta inputs and measuring decay across layers, gate and attention entropies, and hyperedge-size histograms.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DBLP (co-authorship graph with venue/group hyperedges), Yelp (user-business interactions where sessions or categories form hyperedges), and a synthetic higher-order Stochastic Block Model (SBM) that encodes planted hyperedges to test higher-order signals. Baselines: GCN, GAT, HyperGCN (incidence-based hypergraph GNN), a standard GNN augmented with per-node SSM (MPNN+SSM), and an ablated HGMN without SSM. Metrics: classification accuracy, macro-F1, expected calibration error (ECE), and robustness metrics under controlled perturbations (random node feature noise and random edge/hyperedge deletion). Experimental setup: fix seeds (10 distinct seeds) and data splits (train/val/test ratios e.g., 60/20/20), run each setting for L ∈ {2,3} layers, hidden size H=128, SSM state m=64, heads=4, max_hyperedge_size=128, per-node hyperedge_budget=8. Optimizer: Adam, learning rate 1e-3, weight decay 1e-4, early stopping on validation metric. Ablations (explicit): (A) SSM on vs SSM off; (B) fusion variant: transformer-style cross-attention + gating vs FiLM modulation vs simple gated-add; (C) hyperedge mode: static incidence vs motif/clique vs learned soft k-means; (D) spectral control: parameterized A_ss vs power-iteration clamping. Reporting: per-setting mean±std over 10 seeds, paired statistical test (Wilcoxon signed-rank) between HGMN and strongest baseline, and report Cohen's d effect size. Additional diagnostic runs: measure impulse-response decay and gate/attention entropy across layers for representative seeds.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1. Over-smoothing or instability if A_ss spectral radius is not strictly controlled; model can collapse to constant features. 2. Gradient bias and learning differences from persisting per-node SSM states with detach (detached states avoid cross-batch BPTT but cause approximation bias). 3. Dynamic hyperedges can suffer centroid collapse, permutation non-identifiability, or hyperedge explosion, making training unstable. 4. Memory and compute: per-node SSM state requires O(N·m) memory and dense A_ss costs O(m^2) per node update; large graphs (N≫10^6) may be infeasible without diagonal/low-rank A_ss and sharding. 5. Scalability of learned hyperedges: soft k-means or attention over large N has O(NKd) cost and can be stale if updated infrequently. 6. Dataset bias: improvements may be limited to graphs with meaningful higher-order interactions; methods may not generalize to purely pairwise graphs. 7. Statistical risk: small effect sizes require many seeds and careful multiple-comparison correction; reported gains may be sensitive to hyperparameter choices. 8. Reproducibility dependencies: results depend on deterministic preprocessing, seed handling, and precise hyperparameter settings.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