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recurrence_quantile_inception_protection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deep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recurrence-plot descriptors and mean change-in-quantile features with an InceptionTime model and semi-supervised label propagation improves fault detection F1 and reduces localization MAE compared to conventional relays and baseline ML models under varied PV penetration levels.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transmission-line fault protection include conventional relays (impedance/distance, overcurrent), traveling-wave/time-of-arrival (TOA) estimators, PMU-based schemes, and machine-learning models (CNNs, LSTMs) trained on raw or transformed current/voltage traces. Prior uses of recurrence plots (RP) have shown promise to capture nonlinear dynamics but were limited by computational cost and ad-hoc RP summarization. Semi-supervised approaches (label spreading, self-training) have been applied in power systems but often lack rigorous safeguards and domain-adaptation for simulation-to-field gaps. InceptionTime and similar deep time-series classifiers excel on supervised tasks but are rarely combined with physics-informed fusion (TOA), ReliefF feature selection, and RP-based tabular descriptors for protection tasks. Current approaches often fail on high-resistance or arcing faults, single-ended scenarios where TOA is uncertain, low-label regimes, and when simulated and field distributions differ. Open weaknesses include limited uncertainty calibration, insufficient baselines in comparisons, and lack of production-grade latency and HIL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single-ended intelligent protection of transmission-line segments that connect the grid to photovoltaic (PV) plants. The proposed approach extracts recurrence-plot summaries and change-in-quantile descriptors from three-phase currents, selects the most relevant tabular features with ReliefF, and feeds both RP-derived channels and selected descriptors into an InceptionTime-based deep network trained for detection, phase identification, and distance regression. To reduce labeled-data needs, we evaluate semi-supervised strategies (label spreading, label propagation, ensemble self-training) with strict pseudo-label gating. A variance-weighted fusion combines the learned distance with a travel-time (TOA) estimate when available to provide a fused location and uncertainty. Main contributions are (1) a latency-aware RP + quantile feature pipeline suitable for edge deployment, (2) a production-oriented SSL governance policy for safety, and (3) a calibrated fusion of ML and TOA estimates that yields actionable uncertainty. Expected outcome: improved detection F1, sub-3% localization MAE, low false-trip rate, and robust performance across PV penetrations and fault types.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generation and windows: simulate faults in PSCAD/EMTDC on WSCC 9-bus and IEEE 39-bus topologies with PV penetrations {0,25,50,75,100}%. Sample voltages/currents at 2–20 kHz. Extract sliding windows of 5–50 ms with 50% overlap. 2) Recurrence-plot (RP) features: for each window compute phase-space embedding with m in [3,8] (default 5) and delay tau chosen by the first local minimum of average mutual information (fallback tau=1). Set radius epsilon per window to achieve recurrence rate RR in [1%,5%]. From each RP compute compact descriptors: RR (recurrence rate), DET (determinism), LAM (laminarity), TT (trapping time), diagonal entropy, and divergence. Explain: RP is a matrix showing when the system state returns near a past state; descriptors summarize its texture. 3) Change-in-quantile descriptors: compute per-phase quantiles {0.05,0.25,0.5,0.75,0.95} per window, then derive mean change-in-quantiles across adjacent windows, gradients, inter-quantile ranges and cross-phase differences. These are low-cost tabular signals. 4) Feature selection: normalize features and run ReliefF (k=10) to rank; select top-K in {10,25,50}. ReliefF identifies features that best distinguish labels by comparing neighbors. 5) Model architecture: build a multi-view InceptionTime model with two inputs—RP image channels (if latency permits) and tabular descriptors. Time-series branch: 2 Inception blocks, bottleneck 1×1 conv filters=32, conv filters {32,64}, kernel sizes {8,16,32}, squeeze-and-excitation after blocks. Fuse by global average pooling and concatenation with tabular features, then an MLP (64 units) and three output heads: detection (binary cross-entropy), phase ID (multi-label cross-entropy), location (regression MAE). Loss L = L_det + 0.1 L_phase + 0.01 L_loc. 6) Semi-supervised pipeline: (a) construct k-NN graph on selected features for label spreading/propagation; (b) run ensemble self-training with 3 models and accept pseudo-labels when ensemble agreement ≥2/3, softmax confidence ≥0.9, and temporal consistency across windows; (c) cap pseudo-label additions per iteration at 10% of unlabeled pool. 7) Fusion and uncertainty: estimate sigma_RP from MC-dropout or small ensemble variance; derive d_TOA when TOA evidence exists and estimate sigma_TOA from cross-correlation peak width and sampling interval; fuse distances by variance-weighted formula d_hat = (d_RP/sigma_RP^2 + d_TOA/sigma_TOA^2) / (1/sigma_RP^2 + 1/sigma_TOA^2). 8) Calibration: apply temperature scaling or isotonic regression on validation set to calibrate probabilistic outputs. 9) Edge readiness: enforce W ≤ 500 samples, implement descriptor-only fallback, and enable pruning and int8 quantization for deployment. 10) Reproducibility: publish seeds, PSCAD manifests, feature scripts, ReliefF configs, and containerized training/evaluation code.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PSCAD/EMTDC simulated datasets on WSCC 9-bus and IEEE 39-bus. Scenario ranges: fault resistance Rf ∈ [0.1,500] Ω, inception time 0–0.5 s, inception angle 0–360°, PV modes grid-following/forming, sampling rates {2,5,10,20} kHz, SNR 0–40 dB, harmonics up to 5th, packet delays 0–200 ms, loss 0–10%. Generate 50k–100k labeled windows; hold out stratified 20% test set ensuring ≥100 labeled test samples per class. Baselines: conventional distance (impedance) relay, line-differential relay, traveling-wave/TOA estimator (single-ended with priors), PMU-based comparator, supervised CNN, supervised LSTM. Evaluation metrics: detection F1, confusion matrix, false-trip rate (FPR), false-miss rate (FNR), time-to-detect (ms), localization MAE as % of line length, phase-ID accuracy, ROC/PR curves, calibration error (ECE), pseudo-label precision, and inference latency (ms). Experimental splits and procedure: 80/20 train/test stratified; 5-fold CV on train. Run labeled-fraction experiments at 5%, 10%, 20%, 50% labeled data. Statistical tests: report mean and 95% bootstrap CIs and Wilcoxon paired tests against baselines with Holm-Bonferroni correction. Ablation studies: (A) RP image input vs RP descriptors only vs no RP; (B) ReliefF top-K ∈ {10,25,50} vs LASSO selection; (C) SSL variants: label spreading, label propagation, self-training, and supervised-only; (D) fusion on/off (ML-only vs ML+TOA). HIL and latency tests: port representative cases to RTDS/OPAL-RT; benchmark feature extraction, RP compute, inference, fusion and decision latencies on Jetson Xavier NX and Xilinx Zynq; measure worst-case end-to-end latency under packet loss and CPU failover. Acceptance targets: false-trip rate ≤2%, detection latency ≤30 ms, localization MAE ≤3% line, phase-ID ≥98%.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Single-ended TOA limits: single-point TOA must rely on priors for wave speed or weak single-ended cues; error can be large for attenuated TWs, arcing, or high-R faults. 2) RP compute cost: full RP computation is O(W^2) and may exceed edge budgets for high sampling rates or large windows. 3) Semi-supervised negative transfer: mislabeled pseudo-labels or domain mismatch can degrade model performance and amplify errors. 4) Simulation-to-field gap: PSCAD-generated data may not capture all real-world behaviors; models may not generalize without field labels. 5) Rare-event scarcity: arcing and very high-resistance faults are rare; limited real examples reduce statistical confidence and may bias models. 6) Adversarial and cyber threats: spoofed measurements, timestamp attacks, or sensor compromise can cause incorrect detection or false trips. 7) Calibration limits: uncertainty estimates from ensembles or MC-dropout may be miscalibrated, especially under domain shift. 8) Regulatory integration: automated trip decisions require certification and operator approval; the research outcome may not directly translate to deployable protection without extensive testing. 9) Hardware variability: latency and memory on target edge devices vary; worst-case timing under CPU failover may violate real-time constraints. 10) Interpretability limits: SHAP and descriptor analyses may not fully explain complex failure modes in adversarial or emergent grid conditions.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