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SEAL-based graph neural network with LLM-driven netlist normalization for port-level analog circuit link prediction</w:t>
      </w:r>
    </w:p>
    <w:p>
      <w:r>
        <w:t xml:space="preserve"> </w:t>
      </w:r>
    </w:p>
    <w:p>
      <w:pPr>
        <w:pStyle w:val="Heading2"/>
      </w:pPr>
      <w:r>
        <w:t>Short Hypothesis</w:t>
      </w:r>
    </w:p>
    <w:p>
      <w:r>
        <w:t>A SEAL-style subgraph GNN trained on a bipartite port-net incidence graph and augmented by LLM-normalized netlists plus contrastive and masked-port pretraining will improve average precision for port-level link prediction by at least 0.05 compared to strong non-GNN baselines on the SpiceNetlist benchmark.</w:t>
      </w:r>
    </w:p>
    <w:p>
      <w:r>
        <w:t xml:space="preserve"> </w:t>
      </w:r>
    </w:p>
    <w:p>
      <w:pPr>
        <w:pStyle w:val="Heading2"/>
      </w:pPr>
      <w:r>
        <w:t>Related Work</w:t>
      </w:r>
    </w:p>
    <w:p>
      <w:r>
        <w:t>Classical link-prediction methods (Adamic/Adar, Jaccard, preferential attachment) and simple embedding pipelines (node2vec/DeepWalk + MLP) provide basic topological signals but ignore electrical semantics and multi-pin nets. Recent GNN approaches apply node-level message passing but often treat nets as edges or collapse multi-pin nets, losing hyperedge information and harming multi-terminal predictions. The SEAL framework improves link prediction by learning from subgraphs around candidate pairs, but prior uses target node identity or raw labels that risk leakage in circuit tasks. Hypergraph and incidence-aware models model multi-pin nets more directly but can be memory-intensive and lack standardized netlist conversion. Netlist conversion tools vary in format support and lack robust LLM-augmented normalization, creating data-format brittleness. Existing datasets are small, fragmented, or inconsistent in annotation quality, limiting pretraining and transfer learning for analog link prediction.</w:t>
      </w:r>
    </w:p>
    <w:p>
      <w:r>
        <w:t xml:space="preserve"> </w:t>
      </w:r>
    </w:p>
    <w:p>
      <w:pPr>
        <w:pStyle w:val="Heading2"/>
      </w:pPr>
      <w:r>
        <w:t>Abstract</w:t>
      </w:r>
    </w:p>
    <w:p>
      <w:r>
        <w:t>We address port-level link prediction in analog circuit netlists, where multi-pin nets, sparse labeled data, and diverse vendor formats hinder automated design tools. We propose GNN-ACLP, a method that combines SEAL-style subgraph learning on a bipartite port-net incidence graph with an LLM-powered netlist normalization tool and a curated SpiceNetlist dataset. The approach (1) represents nets explicitly as nodes to preserve hyperedge semantics, (2) trains subgraph GNNs with distance-based node labeling and strict masking to avoid label leakage, and (3) uses retrieval-augmented generation to convert heterogeneous netlist formats into a canonical schema to improve training consistency. Contributions include a reproducible SEAL-based pipeline for port-level prediction, a deterministic LLM-based netlist converter, and a benchmark dataset with annotated circuits. We expect measurable improvements in precision and calibration over non-GNN baselines, better robustness to format variability, and clearer evaluation protocols for netlist-to-graph preprocessing in analog design automation.</w:t>
      </w:r>
    </w:p>
    <w:p>
      <w:r>
        <w:t xml:space="preserve"> </w:t>
      </w:r>
    </w:p>
    <w:p>
      <w:pPr>
        <w:pStyle w:val="Heading2"/>
      </w:pPr>
      <w:r>
        <w:t>Methodology</w:t>
      </w:r>
    </w:p>
    <w:p>
      <w:r>
        <w:t xml:space="preserve">1. Canonical graph: convert every netlist to a canonical representation where ports (component pins) and nets are separate nodes in a bipartite incidence graph. A net node connects to all its pins so multi-pin nets are explicit.  </w:t>
        <w:br/>
        <w:t xml:space="preserve">2. SEAL subgraphs: for each candidate port pair (p,q) extract a radius-r subgraph around them (r=1 or 2), remove/ mask target net identifiers, and compute distance-based node labels (DRNL adapted for bipartite graphs). DRNL: a label that encodes distances from the two query ports as small integers.  </w:t>
        <w:br/>
        <w:t xml:space="preserve">3. Feature engineering: attach simple features to nodes such as pin role (e.g., gate/source/drain), pin index (small integer), component type, degree-bin for high-degree nets, and estimated local capacitance. Degree-bin: quantized degree category instead of raw ID.  </w:t>
        <w:br/>
        <w:t xml:space="preserve">4. Leakage controls: during extraction mask net names, template IDs and any global identifiers; cap very-high-degree nets and replace clipped values with degree-bin features.  </w:t>
        <w:br/>
        <w:t xml:space="preserve">5. Model: train a SEAL-style GNN that takes subgraphs with node/edge attributes and outputs a link probability for the port pair. Use standard GNN layers (GraphSAGE/GCN/GAT) with a pooling readout for the pair.  </w:t>
        <w:br/>
        <w:t xml:space="preserve">6. Pretraining: two-stage pretraining on unlabeled subgraphs: (A) contrastive subgraph pretraining with domain-preserving augmentations (value jitter, small topology perturbations), (B) masked-port/attribute and masked-edge reconstruction to teach the model to recover missing port info.  </w:t>
        <w:br/>
        <w:t xml:space="preserve">7. Netlist Babel Fish: build a retrieval-augmented generation (RAG) pipeline where a retriever finds closest templates, prompts an LLM to produce a canonical JSON netlist schema, enforces constrained output (JSON schema), and runs roundtrip parse checks plus a quick SPICE sanity check. Cache outputs and log prompts for reproducibility.  </w:t>
        <w:br/>
        <w:t>8. Dataset: use the annotated SpiceNetlist (775 circuits) as seed; expand synthetically to 5–10k circuits with provenance metadata and annotate port-level links. Ensure versioning and schema validators.</w:t>
      </w:r>
    </w:p>
    <w:p>
      <w:r>
        <w:t xml:space="preserve"> </w:t>
      </w:r>
    </w:p>
    <w:p>
      <w:pPr>
        <w:pStyle w:val="Heading2"/>
      </w:pPr>
      <w:r>
        <w:t>Experiments</w:t>
      </w:r>
    </w:p>
    <w:p>
      <w:r>
        <w:t xml:space="preserve">Datasets: 1) SpiceNetlist annotated seed (775 circuits, 7 circuit types, 10 component classes). 2) Synthetic expansion to 5k and 10k circuits for scale experiments. Splits: circuit-level train/val/test stratified by circuit type and size; target 25–50 circuits per size bucket for final tests; 5 random splits and 5 seeds per experiment.  </w:t>
        <w:br/>
        <w:t xml:space="preserve">Baselines: rule-based heuristics (name-pattern, template matching), classical link predictors (Adamic/Adar, Jaccard, preferential attachment), node2vec/DeepWalk + MLP, feature-based logistic/MLP using electrical/topological features, hypergraph models (HyperGCN/HyperSAGNN), incidence-GNN variants, and an ensemble calibration baseline.  </w:t>
        <w:br/>
        <w:t xml:space="preserve">Metrics: Average Precision (AP), Area Under ROC (AUC), Precision@K (K=1,3,5), False Positive Rate at fixed recall, Brier score, Expected Calibration Error (ECE), per-role precision/recall. Netlist converter metrics: JSON-schema adherence, roundtrip parity rate, SPICE-sanity pass rate, token cost, latency.  </w:t>
        <w:br/>
        <w:t xml:space="preserve">Experiment setup: train SEAL-GNN variants with radii r in {1,2} (r=3 for small circuits) and backbones GCN/GraphSAGE/GAT; batch size 32, embedding dims {64,128}, learning rates {1e-4,5e-4}. Run 5 seeds per condition. Use mixed negatives: 50% hard negatives (withheld-net, same component different pin, degree-match) and 50% random negatives; fixed negative:positive ratio 5:1 per minibatch.  </w:t>
        <w:br/>
        <w:t xml:space="preserve">Ablations and comparisons: 1) SEAL-only vs SEAL+node/edge attributes vs SEAL+pretraining (contrastive→masked) — report AP/AUC and calibration. 2) Bipartite incidence representation vs hypergraph encoding — measure AUC, peak memory, and extraction/inference latency. 3) Negative-sampling ablation: with withheld-net vs no-withheld-net and hard-vs-random negatives — report effect on AP and false positives.  </w:t>
        <w:br/>
        <w:t xml:space="preserve">Netlist Babel Fish evaluation: run conversion on 50 held-out netlists, report schema-adherence, roundtrip parity, SPICE-sanity pass rate, and human-correction rate.  </w:t>
        <w:br/>
        <w:t>Statistical tests: paired bootstrap 95% CIs for AUC/AP, paired permutation tests for p-values, McNemar for binary decisions, and BH correction for multiple comparisons.</w:t>
      </w:r>
    </w:p>
    <w:p>
      <w:r>
        <w:t xml:space="preserve"> </w:t>
      </w:r>
    </w:p>
    <w:p>
      <w:pPr>
        <w:pStyle w:val="Heading2"/>
      </w:pPr>
      <w:r>
        <w:t>Risk Factors And Limitations</w:t>
      </w:r>
    </w:p>
    <w:p>
      <w:r>
        <w:t xml:space="preserve">1. Label leakage: if masking is incomplete, models may learn net identities rather than structural patterns.  </w:t>
        <w:br/>
        <w:t xml:space="preserve">2. Annotation noise: human-labeled port links may disagree; noisy labels reduce effective signal and bias evaluation.  </w:t>
        <w:br/>
        <w:t xml:space="preserve">3. LLM hallucination: Netlist Babel Fish may produce incorrect or inconsistent netlists, causing bad training data or failing SPICE checks.  </w:t>
        <w:br/>
        <w:t xml:space="preserve">4. Multi-pin complexity: explicit incidence graphs increase memory and runtime for very large nets (high fanout).  </w:t>
        <w:br/>
        <w:t xml:space="preserve">5. Synthetic/real gap: synthetic circuits may not reflect real industrial distributions, limiting generalization.  </w:t>
        <w:br/>
        <w:t xml:space="preserve">6. SPICE approximation limits: quick sandbox checks may miss long-term dynamic failures or corner-case analog behaviors.  </w:t>
        <w:br/>
        <w:t xml:space="preserve">7. Compute cost: pretraining and LLM RAG conversions require substantial GPU and token budgets, which can limit large-scale runs.  </w:t>
        <w:br/>
        <w:t>8. Calibration and safety: model confidence may be miscalibrated in rare circuit types, increasing risk of harmful automated edits.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