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ai_hpc_surrogate_ops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Tiered surrogate modeling with calibrated uncertainty for scheduler-driven performance and fault mitigation in high-performance computing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a tiered surrogate model stack with calibrated uncertainty estimates to drive scheduler interventions will reduce mean job wait time by at least 5% and SLA breach rate by at least 5% relative to existing scheduler baselines under production workloads.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machine learning to HPC for performance estimation, scheduling, surrogate modeling, and fault detection. Common methods include regression and tree models for runtime/throughput prediction, deep sequence models for telemetry, Gaussian processes as calibrated surrogates, and graph neural networks to capture topology effects. Fault detection uses autoencoders and change-point detectors; scheduling enhancements use learned runtime estimates or priority adjustments. Limitations remain: many studies report only offline gains without time-aware validation or live shadow tests; uncertainty quantification (UQ) is often weak or absent, limiting safe automated action; surrogate models are seldom evaluated under deployment constraints (latency, memory, NUMA); few works quantify operational cost trade-offs (false-positive vs false-negative remediation costs) or provide reproducible telemetry artifacts; privacy-preserving cross-site learning and concrete deployment hooks for schedulers (SLURM/Flux) are underexplored. These gaps limit real-world adoption.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improving operational efficiency of high-performance computing (HPC) systems by combining tiered surrogate models and calibrated uncertainty to inform safe scheduler-driven interventions. The approach builds a layered model stack: sample-efficient multi-fidelity Gaussian processes for high-fidelity priors, graph neural networks to capture topology-driven contention, and compact distilled predictors for low-latency per-node inference. Uncertainty estimates gate automated actions and trigger retraining when drift is detected. The main contribution is an end-to-end, reproducible pipeline that links telemetry schema, labeled fault-event registry, UQ-aware surrogates, decision policies with explicit cost units (seconds, kWh, SLA dollars), and a validation protocol that includes time-aware walk-forward evaluation and shadow A/B tests. Expected outcomes are measurable reductions in mean job wait time and SLA breaches, calibrated detection of faults with actionable lead time, and a set of reproducible artifacts (datasets, baselines, plugins) that enable operator-auditable deployment. The deliverable is a tested blueprint showing whether UQ-enabled surrogate control achieves operational improvements under realistic constraints.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collection and schema: collect three telemetry tiers: per-process/job (1 Hz: CPU/GPU util, memory RSS, I/O bytes), per-node (0.1–1 Hz: power, temps, clock/freq, NIC/PCIe errors) and cluster events (scheduler events, job placement). Store compressed Parquet snapshots and a short-term TSDB (90 days). 2) Labeling: produce an immutable labeled-event registry with classes {normal, transient anomaly, fault class, remediation action, SLA violation}. Use operator logs plus controlled fault-injection to reach 1,000–2,000 labeled events. 3) Model stack: train multi-fidelity sparse Gaussian processes (GPs) for calibrated priors (a GP is a model that gives mean and uncertainty); train graph neural networks (GNNs) to represent node topology and contention (a GNN is a network that passes information along hardware links); distill heavy models into compact MLPs/XGBoost for per-node inference (100–300 MB). 4) Uncertainty quantification (UQ): implement deep ensembles and Bayesian last-layer posterior for UQ; compute prediction intervals and calibration metrics (reliability diagrams, CRPS). 5) Deployment architecture: hierarchical inference — cluster-level servers host heavy GNN/GP priors; nodes host distilled predictors. Expose outputs via SLURM/Flux plugin API: predict runtime/per-node contention, PI (prediction interval), drift score. 6) Decision policy: map (point estimate, PI, drift, SLA tag) to action bands: alert, low-risk mitigation (checkpoint, throttle), high-impact remediation (migrate/preempt) under safe-exploration budgets (≤1% jobs/nodes/week). 7) Monitoring and retraining: weekly scheduled retrain; online drift detector triggers mid-cycle updates; log actions immutably with PROV metadata. 8) Reproducibility: publish ETL recipes, containerized baselines, feature recipes, and plugin examples.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Real cluster telemetry: 4 weeks job traces + 2 weeks node telemetry from a production-like cluster (sample rates as above) covering diverse tenants and hardware generations. (B) Labeled-event registry: 1,000–2,000 labeled fault events across classes plus fault-injection traces from a reserved testbed. (C) Synthetic benchmark traces for public release when raw data is restricted. Baselines: historical mean predictor, linear regression, XGBoost, LSTM sequence model, single GP, and naive scheduler policy. Proposed models: multi-fidelity sparse GP + GNN prior + distilled MLP ensemble; alternate UQ methods: deep ensembles, Bayesian last-layer, and conformal prediction. Metrics: prediction: MAE, MAPE, negative log-likelihood (NLL), CRPS, PI coverage; downstream: mean job wait time, job throughput, SLA breach rate, energy per processed job (kWh/job); fault detection: precision@fixed recall (recall=0.9), FPR per node-day, lead-time-to-detection distribution, RUL MAE. Experimental setup: offline: time-aware rolling-window (walk-forward) validation with embargo to prevent leakage; compute calibration plots and CRPS per model; run ablations: (1) remove UQ gating, (2) replace GNN with topology-agnostic predictor, (3) use distilled MLP only vs full stack. Online: shadow A/B test by randomizing job reservations into control and model-assisted shadow groups for 2–4 week windows; power calculation target: detect 5% mean wait improvement with α=0.05, power=0.8 (approx. 250 samples per arm; collect 500–1,000). Additional experiment: federated training with DP noise ε∈{1,2,3} across 5 simulated sites; measure rounds-to-converge and utility loss vs centralized baseline. Latency and resource constraints: require per-decision latency &lt;500 ms and per-node model footprint 100–300 MB; measure CPU/memory overhead and network usage during bursts. Report ablation results and sensitivity to FP/FN cost weights (seconds, $ SLA, kWh) using a cost-sensitivity spreadsheet.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bias and coverage: telemetry may miss rare fault modes; labeled-event scarcity can limit supervised detection. 2) Simulation realism: counterfactual replay can misestimate intervention costs (migration I/O, checkpoint time) and tenant reactions. 3) UQ failure modes: miscalibrated uncertainty can permit unsafe actions or cause excessive conservatism. 4) Deployment constraints: node heterogeneity, strict NUMA/IPC policies, or limited headroom may prevent hosting 100–300 MB models on all nodes. 5) Scalability and latency: GNNs/GPs may not scale to 10k+ nodes for real-time decisions without effective distillation; network overhead during bursts may exceed budgets. 6) Privacy and convergence: federated+DP training may require many rounds and incur utility loss at ε values that meet privacy targets. 7) Security: on-node model code introduces attack surface for code execution or data leakage if containers are not hardened. 8) Operational cost modeling: translating FP/FN to dollar/SLA/kWh units depends on site-specific economics and may misrepresent true operational risk. 9) Generalization limits: models trained on one cluster generation may not transfer to different hardware or scheduler policies without per-site adaptation.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