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quantum_lstm_attention_permeability</w:t>
      </w:r>
    </w:p>
    <w:p>
      <w:r>
        <w:t xml:space="preserve"> </w:t>
      </w:r>
    </w:p>
    <w:p>
      <w:pPr>
        <w:pStyle w:val="Heading2"/>
      </w:pPr>
      <w:r>
        <w:t>Title</w:t>
      </w:r>
    </w:p>
    <w:p>
      <w:r>
        <w:t>Quantum-enhanced long short-term memory with attention for spatial permeability prediction in oilfield reservoirs</w:t>
      </w:r>
    </w:p>
    <w:p>
      <w:r>
        <w:t xml:space="preserve"> </w:t>
      </w:r>
    </w:p>
    <w:p>
      <w:pPr>
        <w:pStyle w:val="Heading2"/>
      </w:pPr>
      <w:r>
        <w:t>Short Hypothesis</w:t>
      </w:r>
    </w:p>
    <w:p>
      <w:r>
        <w:t>Embedding a variational quantum circuit inside LSTM gate pre-activations will reduce validation RMSE of log10(permeability) by at least 5% relative to a tuned classical LSTM+attention baseline on the SPE10 and channelized test sets under identical data splits and training budgets.</w:t>
      </w:r>
    </w:p>
    <w:p>
      <w:r>
        <w:t xml:space="preserve"> </w:t>
      </w:r>
    </w:p>
    <w:p>
      <w:pPr>
        <w:pStyle w:val="Heading2"/>
      </w:pPr>
      <w:r>
        <w:t>Related Work</w:t>
      </w:r>
    </w:p>
    <w:p>
      <w:r>
        <w:t>Classical methods for spatial permeability prediction use recurrent networks (LSTM), attention mechanisms, convolutional U-Net architectures, and Transformer encoders to capture temporal and spatial dependencies. Recent quantum machine learning work has introduced variational quantum circuits (VQCs) into feedforward and recurrent models to increase expressive power using entanglement and superposition, and some studies embed VQCs as feature transforms or classifier heads. Limitations in prior work include: reliance on small-scale toy datasets, lack of geoscience-driven spatial or flow validation, high shot and gradient costs on real hardware, scarce comparison to matched-capacity classical baselines, and weak treatment of hardware compilation, calibration, and mitigation. Existing quantum‑classical hybrid proposals often omit explicit gate placements, VQC ansatz specifications, and fairness controls needed to attribute performance gains to quantum components rather than parameter count or decoder design.</w:t>
      </w:r>
    </w:p>
    <w:p>
      <w:r>
        <w:t xml:space="preserve"> </w:t>
      </w:r>
    </w:p>
    <w:p>
      <w:pPr>
        <w:pStyle w:val="Heading2"/>
      </w:pPr>
      <w:r>
        <w:t>Abstract</w:t>
      </w:r>
    </w:p>
    <w:p>
      <w:r>
        <w:t>We propose a hybrid quantum-classical architecture that embeds variational quantum circuits (VQCs) into LSTM gating functions and combines classical attention to predict spatial permeability in oilfield reservoirs. The approach uses compact trainable VQCs to transform low-dimensional encoder outputs into scalar gate pre-activations inside each recurrent cell, leveraging entanglement and re-uploading to capture cross-feature interactions. We define two quantum gate configurations (shared versus independent) and a canonical hardware-aware ansatz with shallow depth and linear entanglers, together with a simulator-first training pipeline and a targeted hardware pilot plan. The main contributions are: (1) a concrete VQC-in-gates QLSTMA design, (2) an ablation matrix comparing VQC placement and gate configurations against matched-parameter classical baselines, and (3) an evaluation protocol tying predictive improvements to spatial metrics and flow-based validation. Expected outcomes are measurable reductions in log10 permeability error and improved spatial connectivity metrics on SPE10 and channelized synthetic tests under reproducible pipelines.</w:t>
      </w:r>
    </w:p>
    <w:p>
      <w:r>
        <w:t xml:space="preserve"> </w:t>
      </w:r>
    </w:p>
    <w:p>
      <w:pPr>
        <w:pStyle w:val="Heading2"/>
      </w:pPr>
      <w:r>
        <w:t>Methodology</w:t>
      </w:r>
    </w:p>
    <w:p>
      <w:r>
        <w:t>1) Data preparation: load SPE10 fine-scale patch and a channelized synthetic volume. Transform target permeability using log10 (or log1p when zeros present). Generate LSTM sequences of length 64 (50% overlap) and 32×32 grid patches for CNN baselines. Save masks for imputed values. 2) Encoder: produce deterministic low-dim encodings (PCA or small VAE) with latent sizes 4, 6, 8. Normalize encoder outputs to [−1,1] then map to rotation angles φ = clip(x,−1,1)×π. (Explanation: encoder compresses inputs to a few numbers; mapping converts those numbers to angles for quantum gates.) 3) VQC ansatz: use a hardware-efficient layered ansatz. Each layer applies per-qubit rotations RY(α)→RZ(β)→RY(γ) (three trainable parameters per qubit per layer) followed by a linear-chain entangler of CNOTs. Depths 2–4. Re-upload encoded angles across layers when encoder_dim &gt; n_qubits via a small linear projection. (Explanation: RY and RZ are single-qubit rotation gates; entanglers create qubit correlations.) 4) Readout and integration: measure single-qubit Z expectation ⟨Z⟩ on each qubit, form a vector of expectations, then apply a small classical linear layer to map to scalar pre-activations s for each LSTM gate. Apply sigmoid(s) for input/forget/output gates and tanh(s) for cell candidate as in classical LSTM. 5) Attention: keep attention classical (additive or dot-product) on top of recurrent outputs to produce final predictions. 6) Training loop: implement model in PyTorch + PennyLane. Use simulator analytic gradients for hyperparameter sweeps. For hardware-faithful training use parameter-shift gradients: each trainable quantum parameter requires two shifted circuit evaluations (circuit_evals_per_step = 1 + 2P). Default shot budgets: S_train = 1,024; S_eval = 5,000. Optimizer: Adam with separate learning rates for quantum and classical params. Use early stopping (patience 20, max 200 epochs) and log training/validation curves, gradient norms, and seed-level diagnostics. 7) Reproducibility: record DVC dataset snapshots, fixed seeds, Docker environment, and a notebook that runs a short end-to-end toy experiment.</w:t>
      </w:r>
    </w:p>
    <w:p>
      <w:r>
        <w:t xml:space="preserve"> </w:t>
      </w:r>
    </w:p>
    <w:p>
      <w:pPr>
        <w:pStyle w:val="Heading2"/>
      </w:pPr>
      <w:r>
        <w:t>Experiments</w:t>
      </w:r>
    </w:p>
    <w:p>
      <w:r>
        <w:t>Datasets: SPE10 fine-scale patch and one channelized synthetic case. Splits: per case use 8 training wells, 2 validation wells, 2 held-out test wells; perform leave-one-well-out (LOWO) rotations. Baselines: (A) tuned classical LSTM+attention (hidden sizes {32,64,128}, lr {1e-4,1e-3}), (B) Transformer encoder (layers 2–4, heads 4–8), (C) U-Net for grid prediction (filters 32–128), (D) classical LSTM variant with matched parameter budget to the VQC module. Proposed models: QLSTMA with VQC embedded inside gates. Ablation studies: (1) Placement: VQC-in-gates vs VQC-pre-LSTM vs Q-attention; (2) Gate configuration: shared-gates vs independent-gates; (3) Qubit scaling: n_qubits in {4,6,8}; (4) Depth: {2,3,4}; (5) Encoder dims {4,6,8}. Phase-1 priority: shared-gates, 4 qubits, depths {2,3}, encoder_dims {4,6,8}. Training setup: batch size 32, weight decay 0.01, dropout 0.1, gradient clipping; simulator analytic gradients for hyperparameter search; hardware runs use parameter-shift with S_train=1024 and S_eval=5000. Seeds and power: pilot 10 seeds per config to estimate paired-difference variance, then full experiments with 20–30 paired seeds when compute allows (minimum 10 seeds if constrained). Metrics: primary = RMSE and MAE on log10(permeability); spatial = variogram L2 over lag bins, connectivity/percolation probability, upscaled transmissibility RMSE; flow = breakthrough time error and cumulative production MAPE from single-phase flow solves; uncertainty = PICP and CRPS. Statistical analysis: paired Wilcoxon signed-rank test, permutation tests, bootstrap 95% CIs (10,000 resamples), report medians and effect sizes. Hardware plan: simulator → noisy-device simulation (device-calibrated) → hardware pilot on 3–5 prioritized configs; report per-config shots/step, wall-clock including compilation and queue estimates. Stopping rules: early stop on validation RMSE with patience 20, max 200 epochs. One required ablation: compare VQC-in-gates (shared 4q d=2) vs VQC-pre-LSTM vs matched-parameter classical gate on identical seeds and splits.</w:t>
      </w:r>
    </w:p>
    <w:p>
      <w:r>
        <w:t xml:space="preserve"> </w:t>
      </w:r>
    </w:p>
    <w:p>
      <w:pPr>
        <w:pStyle w:val="Heading2"/>
      </w:pPr>
      <w:r>
        <w:t>Risk Factors And Limitations</w:t>
      </w:r>
    </w:p>
    <w:p>
      <w:r>
        <w:t>1) Hardware noise and limited qubit coherence may prevent reproducing simulator gains; noisy readout and two-qubit gate errors can dominate. 2) Shot cost and parameter-shift gradient scaling grow linearly with number of trainable quantum parameters, making large-P configurations infeasible on hardware. 3) Barren-plateau effects (vanishing gradients) can occur for some ansatzes and random initializations. 4) Simulator-to-hardware mismatch: noisy simulator calibration may not capture runtime drift, queue variability, and compilation overheads. 5) Data scarcity or distribution shift across wells can inflate variance and reduce statistical power. 6) Fair classical parity is hard: matching parameter counts may not equal matching effective capacity (FLOPs/activations), which can confound attribution. 7) Flow validation is computationally expensive and sensitive to upscaling choices; upscaling errors can mask prediction improvements. 8) Results may not generalize across reservoir types (e.g., carbonates vs fluvial) or large upscaling ratios. 9) Queue times, compilation overheads, and device calibration cadence can materially increase end-to-end wall-clock and USD cost beyond shot-based estimates.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