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facebook_rural_cancer_prevention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pilot evaluation of a co-created Facebook-delivered web intervention to reduce multiple cancer risk behaviors among rural emerging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Participation in an 8-week, co-created Facebook-delivered behavior-change intervention will increase self-efficacy for cancer risk reduction by week 4 and produce measurable reductions in at least two targeted risk behaviors by week 8 among rural emerging adults compared with baseline.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web-based cancer prevention for young adults shows feasibility of social-media delivery, co-creation with target users, and use of behavior-change theory. Prior approaches often focus on single behaviors, rely on convenience samples from platform users, and provide limited plans for equitable recruitment of non-platform users. Common weaknesses include inadequate privacy workflows for platform use, sparse mixed-methods integration linking qualitative feedback to proximal mediators, few multi-behavior interventions, and lack of clear go/no-go feasibility rules. Engagement tends to wane without interactive mechanics or fallback low-bandwidth options. Studies rarely couple rigorous feasibility decision thresholds with tokenized onboarding, salted-hash linkage, or pre-specified missing-data and analytic strategies.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Rural emerging adults face multiple modifiable cancer risk factors but have limited access to tailored prevention programs. We propose a mixed-methods pilot study of a theory-driven web intervention delivered via private Facebook groups and co-created with emerging adults and stakeholder advisory boards. The approach builds a 120–180 item message bank, tags content with behavior-change techniques (BCTs), and uses interactive mechanics (polls, micro-challenges) to boost engagement. Enrollment uses REDCap consent and a tokenized or staff-add join workflow to protect privacy; a salted-hash mapping links survey SIDs to Facebook metadata for analysis. Primary feasibility rules focus on retention, fidelity, weekly active participation, and a pre-specified mediator signal: change in self-efficacy by week 4. Analyses use mixed-effects models to estimate mediator and behavior changes; qualitative interviews will explain mechanisms and acceptability. Expected outcomes are proof-of-concept feasibility signals, initial effect-size estimates for self-efficacy and behavior change, and an IRB-ready protocol with privacy and contingency plans for platform risk.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Co-creation: Recruit a community advisory board (CAB) of rural emerging adults and stakeholders. Run 3–4 co-creation sessions to draft and refine a message bank of 120–180 items. BCT tagging: label each message with its main behavior-change technique (BCT). A BCT is a specific strategy used to change behavior (example: goal setting). 2) Enrollment and privacy: Use REDCap for consent and baseline survey; issue a single-use join token or capture a secure profile URL in an encrypted field. Two data custodians add participants to Hidden Facebook Groups; mapping is stored as a salted-hash (a cryptographic hash with added secret salt to prevent reidentification). 3) Intervention delivery: Post content according to a 12-week calendar inside Private Facebook Groups using Units/Topics. Include low-bandwidth alternatives: text-only posts, downloadable PDFs, captioned short videos, and optional SMS nudges. 4) Measurement: Collect baseline (week 0), mid (week 4), and post (week 8) surveys. Primary mediator: 4–6 item self-efficacy scale. Risk-factor measures: past-30-day tobacco, AUDIT-C for alcohol, brief fruit/veg screener and PA short form, self-reported height/weight for BMI, short Sun Protection Habits scale, and HPV vaccination status with consent for registry lookup. 5) Moderation and safety: Train moderators with scripted replies, fidelity checklists, and escalation SOPs with named clinical contacts. 6) Data flows: Weekly export of group Insights (engagement metrics) to secure server; link to REDCap via hashed keys for analysis. 7) Analysis: Use linear mixed-effects models (random intercepts for participant and site) for continuous mediators, generalized mixed models for binary outcomes, and report effect sizes with 95% confidence intervals. Explain technical terms simply: mixed-effects models are statistical models that account for repeated measurements on people and differences between sites.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Single-arm pilot with embedded A/B tests. Target sample: N ≈ 80 (range 60–100) across 2–3 rural sites. Randomization: For each A/B contrast (gain vs loss framing; peer testimonial vs expert tip), randomize participants 1:1 at enrollment. Datasets: REDCap survey data (baseline/week4/week8), Facebook Insights exports (weekly active status, reactions, comments, video view time), moderator fidelity logs, and qualitative interview transcripts (n=30–40). Baselines: pre-intervention measures at week 0. Baseline comparators: within-subject baseline values. Baselines for A/B tests: compare randomized arms. Evaluation metrics: primary feasibility metrics: retention at week 8 (%), fidelity (% planned posts delivered), mean weekly active participation (%), and mediator change (standardized mean difference in self-efficacy week0→week4). Proximal outcomes: changes in each risk behavior measure at week 8. Secondary metrics: engagement dose (number of active weeks), time-to-dropout. Statistical analysis: For mediator and continuous outcomes fit linear mixed-effects models with fixed effect for time and arm, random intercepts for participant and site; for binary outcomes use generalized linear mixed models with logit link. Adjust for clustering using random site effects. Missing data: perform multiple imputation by chained equations under missing-at-random assumptions with 20 imputations; run complete-case and imputed analyses. A/B test decision rule: adopt variant with ≥10% relative higher weekly active participation and consistent positive mediator change over two consecutive 2-week blocks. Ablation: Compare content format by randomizing a sub-sample to video-first vs text-first delivery and test effect on engagement and mediator change. Comparisons: (1) pre/post mediator change within participants (paired mixed model), (2) A/B arms on mediator and engagement (arm*time interaction), (3) content-format ablation on engagement metrics. Report 95% CIs and standardized effects. All analyses follow intent-to-treat (ITT) where participants are analyzed in assigned A/B arm regardless of engagement; per-protocol analyses defined by &gt;=50% content exposure.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Selection bias: recruitment via Facebook risks oversampling platform users and excluding low-connectivity participants. Digital divide: participants with limited data plans may have lower engagement, reducing generalizability. Small sample size: pilot N limits power to detect small effects and A/B tests will be underpowered for definitive comparisons. Self-report bias: risk behaviors and BMI are self-reported and subject to misreporting. Platform risk: Facebook policy changes or account restrictions can disrupt delivery and data exports. Privacy risk: mapping SID to platform handles creates reidentification risk if controls fail. State IIS variability: access to HPV registries varies by state and may limit verification. Contamination: participants may share content outside groups, diluting measured effects. Moderator variability: differences in moderator fidelity can affect engagement and outcomes. Limited external validity: findings may not generalize beyond rural emerging adults in the selected regions. Missing data: differential attrition may bias estimates if not missing-at-random. Computational limits: data volume is modest but secure export and linking require careful infrastructure and staff time.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