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a2ar_cp_csf_hydrocephalus</w:t>
      </w:r>
    </w:p>
    <w:p>
      <w:r>
        <w:t xml:space="preserve"> </w:t>
      </w:r>
    </w:p>
    <w:p>
      <w:pPr>
        <w:pStyle w:val="Heading2"/>
      </w:pPr>
      <w:r>
        <w:t>Title</w:t>
      </w:r>
    </w:p>
    <w:p>
      <w:r>
        <w:t>Targeted modulation of adenosine A2A receptor signaling in the choroid plexus to reduce CSF hypersecretion and ventriculomegaly in hydrocephalus</w:t>
      </w:r>
    </w:p>
    <w:p>
      <w:r>
        <w:t xml:space="preserve"> </w:t>
      </w:r>
    </w:p>
    <w:p>
      <w:pPr>
        <w:pStyle w:val="Heading2"/>
      </w:pPr>
      <w:r>
        <w:t>Short Hypothesis</w:t>
      </w:r>
    </w:p>
    <w:p>
      <w:r>
        <w:t>Aberrant activation of adenosine A2A receptors (A2AR) in choroid plexus epithelial cells increases CSF secretion and causes ventriculomegaly via PI3K/AKT-dependent SPAK phosphorylation and NF-κB-dependent downregulation of ATP1A2, and CP-targeted A2AR antagonism or A2AR knockdown prevents these changes.</w:t>
      </w:r>
    </w:p>
    <w:p>
      <w:r>
        <w:t xml:space="preserve"> </w:t>
      </w:r>
    </w:p>
    <w:p>
      <w:pPr>
        <w:pStyle w:val="Heading2"/>
      </w:pPr>
      <w:r>
        <w:t>Related Work</w:t>
      </w:r>
    </w:p>
    <w:p>
      <w:r>
        <w:t>Prior studies show that the choroid plexus (CP) is a primary site of CSF production and that adenosine signaling via A2AR can modulate neural and vascular physiology. Pharmacologic A2AR antagonists (including istradefylline) have demonstrated CNS effects and have been proposed for repurposing in neurological disorders. Work linking SPAK kinase, PI3K/AKT signaling, and NKCC1/Na+/K+-ATPase regulation implicates phosphorylation cascades in epithelial ion transport. Existing hydrocephalus models (kaolin, post-IVH) provide imaging and CSF production readouts. Limitations in current approaches include sparse cell-type localization of A2AR and ATP1A2 in CP, incomplete temporal mapping of signaling after injury, lack of CP-restricted genetic interventions to prove causality, limited occupancy-linked PK/PD for istradefylline in CP, and insufficient translation to human CP models or CSF biomarkers. These gaps leave uncertainty about whether A2AR-driven CP signaling is necessary and sufficient for CSF hypersecretion and ventriculomegaly.</w:t>
      </w:r>
    </w:p>
    <w:p>
      <w:r>
        <w:t xml:space="preserve"> </w:t>
      </w:r>
    </w:p>
    <w:p>
      <w:pPr>
        <w:pStyle w:val="Heading2"/>
      </w:pPr>
      <w:r>
        <w:t>Abstract</w:t>
      </w:r>
    </w:p>
    <w:p>
      <w:r>
        <w:t>Hydrocephalus involves pathological enlargement of brain ventricles driven in part by excess cerebrospinal fluid (CSF) production by the choroid plexus (CP). We propose to test whether aberrant adenosine A2A receptor (A2AR) signaling in CP epithelial cells drives CSF hypersecretion and ventriculomegaly through two parallel mechanisms: PI3K/AKT-dependent SPAK phosphorylation (a kinase cascade that modifies transporter activity) and NF-κB-dependent transcriptional downregulation of ATP1A2 (the Na+/K+-ATPase α2 subunit controlling ion gradients). The approach combines CP-targeted genetic tools (AAV-CRISPRi/CRISPRa), systemic and localized istradefylline dosing (A2AR antagonist), longitudinal MRI ventricular volumetry, direct CSF production assays, molecular phospho-proteomics, ChIP and promoter mutagenesis, and human iPSC-derived CP organoids. Main contribution: a mechanistic, causality-focused map linking A2AR activation to transporter regulation and CSF output, with occupancy-linked PK/PD for istradefylline and validated translational biomarkers. Expected outcome: (1) demonstration of CP A2AR necessity/sufficiency for CSF hypersecretion, and (2) validated biomarkers and exposure–response data to support repurposing A2AR antagonists for hydrocephalus.</w:t>
      </w:r>
    </w:p>
    <w:p>
      <w:r>
        <w:t xml:space="preserve"> </w:t>
      </w:r>
    </w:p>
    <w:p>
      <w:pPr>
        <w:pStyle w:val="Heading2"/>
      </w:pPr>
      <w:r>
        <w:t>Methodology</w:t>
      </w:r>
    </w:p>
    <w:p>
      <w:r>
        <w:t>1) Animal models and groups: use adult and neonatal rodents with kaolin-induced hydrocephalus and a post-intraventricular hemorrhage (IVH) model. Randomize to sham, disease+vehicle, disease+systemic istradefylline, disease+CP A2AR knockdown (AAV-CRISPRi), disease+CP ATP1A2 rescue (AAV-ATP1A2), and comparator antagonist arms. 2) CP-targeted gene delivery: produce AAV9 and AAVrh10 vectors carrying CP-restricted promoters (transthyretin, hTTR) to express dCas9-KRAB for CRISPRi or dCas9-VP64 for CRISPRa, and ATP1A2 cDNA; deliver intraventricularly (ICV). (AAV = viral vector to deliver genes; intraventricular = injected into brain ventricle.) 3) Pharmacology and PK/PD: dose istradefylline orally and by ICV microdose; measure plasma, CSF, and microdissected CP concentrations by LC-MS/MS; determine unbound fractions (fu) and receptor occupancy with ex vivo radioligand binding or small-animal PET (where available). 4) Imaging and CSF flow: acquire baseline and longitudinal high-resolution 3D T2 MRI for ventricular volume (ventricle size), cine phase-contrast MRI for aqueductal CSF flow, and DCE-MRI for CP permeability. 5) Direct CSF secretion: measure CSF production via ventriculo-cisternal perfusion (infusion and collection of CSF) to calculate µL/min secretion rates. (Ventriulo-cisternal perfusion = gold-standard method where fluid is infused and collected to measure production.) 6) Molecular assays: collect microdissected CP for qPCR (ATP1A2, transporters), Western and phospho-specific Western for SPAK/p-SPAK, targeted phosphoproteomics (PRM) for SPAK sites, ChIP-qPCR for p65 (NF-κB) binding, and luciferase reporter assays for ATP1A2 promoter mutagenesis. 7) Functional transporter assays: rubidium (Rb86) uptake as proxy for Na+/K+-ATPase activity (Rb behaves like K+), ouabain-sensitive flux, TEER and transepithelial current in CP epithelial cultures or organoids. 8) Human translation: generate iPSC-derived CP organoids for parallel pharmacology and molecular readouts. 9) Cell-type localization: perform single-cell RNA-seq and spatial transcriptomics on CP tissue to map A2AR, ATP1A2, SPAK and inflammatory markers. 10) Data analysis: use mixed-effects models for longitudinal imaging, exposure–response modeling (Emax) linking unbound brain levels to occupancy and PD, and formal mediation analysis to test ATP1A2/p-SPAK as mediators. Ensure blinded sample processing and preregistered SOPs.</w:t>
      </w:r>
    </w:p>
    <w:p>
      <w:r>
        <w:t xml:space="preserve"> </w:t>
      </w:r>
    </w:p>
    <w:p>
      <w:pPr>
        <w:pStyle w:val="Heading2"/>
      </w:pPr>
      <w:r>
        <w:t>Experiments</w:t>
      </w:r>
    </w:p>
    <w:p>
      <w:r>
        <w:t>1) Cohorts and sample sizes: imaging cohorts n=10 animals/group (longitudinal MRI), CSF production cohorts n=12/group, molecular cohorts n=6–8/group per timepoint. Timepoints: baseline, 6h, 24h, 72h, 1 week, 2 weeks, 4 weeks post-insult/treatment. 2) Baseline and treatment arms: (A) sham; (B) kaolin+vehicle; (C) kaolin+systemic istradefylline (oral); (D) kaolin+ICV istradefylline microdose; (E) kaolin+CP A2AR CRISPRi; (F) kaolin+CP ATP1A2 rescue; (G) kaolin+alternative A2AR antagonist. 3) Primary endpoint: percent change in ventricular volume at 4 weeks by blinded MRI volumetry. Secondary endpoints: CSF production rate (µL/min) by ventriculo-cisternal perfusion at 2 and 4 weeks, ICP telemetry where available, and aqueductal CSF flow (µL/s). 4) Mechanistic endpoints: ATP1A2 mRNA fold-change (qPCR), ATP1A2 protein fold-change (Western), Na+/K+-ATPase activity (ouabain-sensitive flux, Rb86 uptake in µmol/g/min), phospho-SPAK/total SPAK ratio (Western and PRM, reported as fold-change), NF-κB p65 nuclear fraction and ChIP enrichment at ATP1A2 promoter (percent input). 5) Occupancy and PK/PD: measure receptor occupancy (%) at Tmax and trough via ex vivo radioligand displacement in CP and brain, and unbound brain concentration (ng/mL); fit Emax models to link occupancy to p-SPAK and ATP1A2 changes. 6) Cell-type mapping: run scRNA-seq (3 biological replicates per condition, ~6k cells/sample) and spatial transcriptomics on CP to localize A2AR and ATP1A2 expression; report percent of epithelial vs stromal/immune cells expressing transcripts. 7) Ablation/Comparison studies: (i) compare systemic istradefylline vs CP-targeted A2AR knockdown to isolate CP-autonomous effect; (ii) compare istradefylline vs alternative A2AR antagonist for potency and safety markers; (iii) promoter mutagenesis ablation: wild-type vs NF-κB site-mutant ATP1A2 luciferase reporters in CP cells to test transcriptional requirement. 8) Statistical tests: mixed-effects model for longitudinal MRI (fixed effects: group, time; random: subject), ANOVA or Kruskal-Wallis for group comparisons, FDR correction for multiple molecular readouts, and bootstrapped mediation analysis to estimate proportion of treatment effect mediated by ATP1A2 and p-SPAK. Predefine success: ≥20% reduction in ventricle volume and ≥20% reduction in CSF production vs diseased control with concordant mechanistic changes.</w:t>
      </w:r>
    </w:p>
    <w:p>
      <w:r>
        <w:t xml:space="preserve"> </w:t>
      </w:r>
    </w:p>
    <w:p>
      <w:pPr>
        <w:pStyle w:val="Heading2"/>
      </w:pPr>
      <w:r>
        <w:t>Risk Factors And Limitations</w:t>
      </w:r>
    </w:p>
    <w:p>
      <w:r>
        <w:t>1) Antibody and assay specificity: phospho-specific antibodies may cross-react; targeted PRM and peptide competition are required but may still miss low-abundance sites. 2) AAV off-target expression: CP-restricted promoters may leak to nearby tissues, confounding CP-autonomous interpretation. 3) Species differences: rodent CP biology and istradefylline receptor affinity may differ from humans, limiting translation. 4) Temporal resolution: rapid, transient signaling after insult may be missed if sampling times are insufficient. 5) Measurement invasiveness and throughput: ventriculo-cisternal perfusion and ICP telemetry are invasive, reduce throughput, and can alter physiology. 6) Pharmacology constraints: small-animal PET tracers or radioligands may be unavailable, limiting in vivo occupancy mapping. 7) Confounding inflammation and vascular changes: inflammation or altered CP permeability may drive CSF changes independently of A2AR signaling. 8) Statistical power and variance: biological variability in kaolin/IVH models may require larger N than planned. 9) Pediatric safety and regulatory limits: istradefylline pediatric safety data are limited, constraining immediate clinical translation. 10) Generalization limits: results may not generalize across hydrocephalus etiologies or to patients with complex comorbidities.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