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iot_healthcare_weighted_meta</w:t>
      </w:r>
    </w:p>
    <w:p>
      <w:r>
        <w:t xml:space="preserve"> </w:t>
      </w:r>
    </w:p>
    <w:p>
      <w:pPr>
        <w:pStyle w:val="Heading2"/>
      </w:pPr>
      <w:r>
        <w:t>Title</w:t>
      </w:r>
    </w:p>
    <w:p>
      <w:r>
        <w:t>Weighted and Random-Effects Meta-Analytic Synthesis of Predictors and Theoretical Frameworks for Individual Adoption of Internet-of-Things Technologies in Health Care</w:t>
      </w:r>
    </w:p>
    <w:p>
      <w:r>
        <w:t xml:space="preserve"> </w:t>
      </w:r>
    </w:p>
    <w:p>
      <w:pPr>
        <w:pStyle w:val="Heading2"/>
      </w:pPr>
      <w:r>
        <w:t>Short Hypothesis</w:t>
      </w:r>
    </w:p>
    <w:p>
      <w:r>
        <w:t>Higher perceived usefulness of an IoT technology increases the probability of individual adoption of that technology in health care settings.</w:t>
      </w:r>
    </w:p>
    <w:p>
      <w:r>
        <w:t xml:space="preserve"> </w:t>
      </w:r>
    </w:p>
    <w:p>
      <w:pPr>
        <w:pStyle w:val="Heading2"/>
      </w:pPr>
      <w:r>
        <w:t>Related Work</w:t>
      </w:r>
    </w:p>
    <w:p>
      <w:r>
        <w:t>Existing work on IoT adoption in health care has used theory-driven frameworks (TAM, UTAUT, TPB, DOI) and many primary surveys to identify predictors such as perceived usefulness, ease of use, security concerns, interoperability, and facilitating conditions. Prior syntheses are mostly narrative or qualitative, with a few small meta-analyses that pooled heterogeneous effect estimates without consistent quality weighting, inadequate handling of multiple dependent effects per study, limited separation of adjusted and unadjusted estimates, sparse use of meta-analytic structural equation modeling (MASEM), and little measurement-invariance testing across languages or settings. Common weaknesses include dichotomous vote-counting or p-value thresholds, inconsistent conversion rules for statistics, limited transparency about risk-of-bias weighting, and infrequent sharing of extraction matrices, which together reduce reproducibility and bias control.</w:t>
      </w:r>
    </w:p>
    <w:p>
      <w:r>
        <w:t xml:space="preserve"> </w:t>
      </w:r>
    </w:p>
    <w:p>
      <w:pPr>
        <w:pStyle w:val="Heading2"/>
      </w:pPr>
      <w:r>
        <w:t>Abstract</w:t>
      </w:r>
    </w:p>
    <w:p>
      <w:r>
        <w:t>We propose a preregistered, reproducible synthesis combining a study-quality weighted score and random-effects meta-analysis to identify reliable predictors and theoretical frameworks explaining individual adoption of Internet-of-Things (IoT) technologies in health care. We will perform systematic searches of bibliographic databases, extract bivariate and adjusted effect sizes, apply a transparent risk-of-bias scoring to produce Qi, and compute a continuous, direction-preserving WeightedScore using signed Fisher z as the per-study effect weight. Primary meta-analyses will use REML random-effects with Hartung–Knapp adjustments, handle within-study dependence via multivariate models or robust variance estimation, and run two-stage MASEM for theory-driven path tests when sufficient correlation matrices exist. Outcomes include pooled effect sizes, heterogeneity diagnostics, evidence bands, and theory maps (IA-SF). Expected contributions are clearer ranking of influential predictors, formal tests of theoretical pathways, and an open dataset and scripts to improve reproducibility and guide implementation.</w:t>
      </w:r>
    </w:p>
    <w:p>
      <w:r>
        <w:t xml:space="preserve"> </w:t>
      </w:r>
    </w:p>
    <w:p>
      <w:pPr>
        <w:pStyle w:val="Heading2"/>
      </w:pPr>
      <w:r>
        <w:t>Methodology</w:t>
      </w:r>
    </w:p>
    <w:p>
      <w:r>
        <w:t>1) Search and selection: run systematic searches in PubMed, Scopus, Web of Science, IEEE Xplore, and relevant conference proceedings for quantitative studies of IoT adoption in health care through 2025. Screen by pre-specified inclusion/exclusion criteria and dual independent reviewers. 2) Data extraction: extract sample sizes, bivariate correlations or convertible statistics (t, F, OR, β), adjusted estimates with covariates, item-level texts, outcome type (intention, initial adoption, sustained use), actor and setting, and equity variables. Record provenance flags: reported / derived / imputed. 3) Risk-of-bias (Qi): apply an adapted AXIS+ tool with domains for measurement validity (validated scales, reliability), sampling, confounding control, common-method risk, selective reporting, and funding; score items 0/1, sum and normalize to Qi∈[0,1]. 4) WeightedScore: for each study i compute signed Fisher z (z_i) from r (signed measure of effect direction and magnitude), Ni* = Ni/Nmax, Pi = 1/mi (mi = dependent effects count), and Wi = z_i * Ni* * Qi * Pi. Then WeightedScore = ΣWi / Σ(Ni*QiPi). Using signed z preserves direction (positive/negative). 5) Conversions: use standard formulas: r = t / sqrt(t^2+df); r = sqrt(F/(F+df2)) when appropriate; OR→d: d = ln(OR)*sqrt(3)/π; d→r: r = d/sqrt(d^2+4). 6) Meta-analysis: pool unadjusted/bivariate correlations as primary using Fisher z transformed outcomes with REML τ^2 and Hartung–Knapp CIs. Handle multiple effects per study with rma.mv (multivariate) when within-study correlations are available; otherwise use robust variance estimation (RVE) with Tipton correction. 7) Meta-regression: pre-specify limited confirmatory moderators (actor, IoT type, setting, digital literacy, country income) requiring k≥10; exploratory tests when k≥5. 8) MASEM: run two-stage MASEM when ≥8–12 independent studies provide full correlation matrices; report CFI, RMSEA, SRMR and use predefined cutoffs. 9) Measurement invariance: perform multi-group CFA (configural→metric→scalar) when item or covariance data permit; thresholds ΔCFI≤0.01, ΔRMSEA≤0.015. 10) Sensitivity: run alternative weighting (binary Si), tau estimators (DL), pooling adjusted estimates separately, exclude imputed data, and test selection models for publication bias. 11) Reproducibility: preregister protocol, publish extraction files, provenance, and R scripts (metafor, robumeta, clubSandwich, metaSEM) on OSF/GitHub.</w:t>
      </w:r>
    </w:p>
    <w:p>
      <w:r>
        <w:t xml:space="preserve"> </w:t>
      </w:r>
    </w:p>
    <w:p>
      <w:pPr>
        <w:pStyle w:val="Heading2"/>
      </w:pPr>
      <w:r>
        <w:t>Experiments</w:t>
      </w:r>
    </w:p>
    <w:p>
      <w:r>
        <w:t>1) Datasets: all peer-reviewed quantitative studies of IoT adoption in health care identified in systematic search; include non-English where translations available; include gray literature for sensitivity. 2) Baselines: (A) unweighted random-effects pooling of reported correlations (standard metafor REML), (B) vote-counting of significant effects, (C) WeightedScore using binary Si (original binary rule). 3) Primary analyses: pooled Fisher z of bivariate correlations per predictor with REML + Hartung–Knapp; compute WeightedScore (signed z version) and classify evidence bands. 4) Dependence handling ablation: compare multivariate rma.mv when matrices available vs RVE (Tipton) when correlations missing; report differences. 5) Weighting ablation: compare signed Fisher z weighting vs binary Si weighting vs Qi-only weighting. 6) Adjustment ablation: separate meta-analyses of adjusted effect estimates vs unadjusted; compare pooled estimates and meta-regression coefficient for 'adjustment status'. 7) MASEM experiment: where ≥8 studies supply full correlation matrices for a theory model (e.g., interoperability → perceived usefulness → adoption), run two-stage MASEM and report fit indices (CFI≥0.95, RMSEA≤0.06, SRMR≤0.08). 8) Publication-bias tests: for predictors with k≥10 run funnel plots, Egger’s test (p&lt;0.10 flagged), PET-PEESE, trim-and-fill, and a selection-model (weight-function) sensitivity. 9) Evaluation metrics: pooled effect size (r and Fisher z), 95% CI, 95% prediction interval, tau^2, I^2, WeightedScore, meta-regression coefficients (β), MASEM path coefficients and fit indices, and change in inference across ablations. 10) Software and setup: R scripts using metafor, robumeta, clubSandwich, metaSEM; dual coding with interrater reliability report; author-contact protocol for missing matrices (0, 2, 4, 6-week reminders).</w:t>
      </w:r>
    </w:p>
    <w:p>
      <w:r>
        <w:t xml:space="preserve"> </w:t>
      </w:r>
    </w:p>
    <w:p>
      <w:pPr>
        <w:pStyle w:val="Heading2"/>
      </w:pPr>
      <w:r>
        <w:t>Risk Factors And Limitations</w:t>
      </w:r>
    </w:p>
    <w:p>
      <w:r>
        <w:t>1) Limited availability of full correlation matrices will constrain MASEM and multivariate pooling. 2) High heterogeneity (I2) across settings, measures, and IoT types may limit pooled inference and make subgroup results sparse. 3) Measurement non-invariance across languages or cultures can invalidate pooled constructs. 4) Publication bias and selective reporting may distort pooled estimates despite sensitivity checks. 5) Converting diverse statistics (OR, t, β) to r introduces approximation error and potential bias when original assumptions are unmet. 6) Dependence among correlated predictors within studies risks double-counting if within-study correlations are missing. 7) Risk-of-bias scoring (Qi) involves subjective judgments and interrater variability. 8) Inclusion of non-English or gray literature may be limited by translation resources. 9) Observational primary studies limit causal claims; meta-analysis measures average associations, not definitive causation. 10) Computational limits: complex multivariate models and selection models can be unstable with small k and demand careful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